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40D6" w14:textId="77777777" w:rsidR="002E57A0" w:rsidRDefault="6C5FA4A6" w:rsidP="1593BE01">
      <w:pPr>
        <w:rPr>
          <w:b/>
          <w:bCs/>
        </w:rPr>
      </w:pPr>
      <w:r w:rsidRPr="00C667DC">
        <w:rPr>
          <w:b/>
          <w:bCs/>
        </w:rPr>
        <w:t xml:space="preserve">Maps of topsoil (0-30 cm) </w:t>
      </w:r>
      <w:r w:rsidR="006B551E">
        <w:rPr>
          <w:b/>
          <w:bCs/>
        </w:rPr>
        <w:t>properties</w:t>
      </w:r>
      <w:r w:rsidRPr="00C667DC">
        <w:rPr>
          <w:b/>
          <w:bCs/>
        </w:rPr>
        <w:t xml:space="preserve"> of Tuscany (Italy)</w:t>
      </w:r>
    </w:p>
    <w:p w14:paraId="4DC8AF12" w14:textId="1D8448B6" w:rsidR="0097467A" w:rsidRPr="00E67C8B" w:rsidRDefault="326CFB0E" w:rsidP="1593BE01">
      <w:pPr>
        <w:rPr>
          <w:b/>
          <w:bCs/>
          <w:lang w:val="it-IT"/>
        </w:rPr>
      </w:pPr>
      <w:proofErr w:type="spellStart"/>
      <w:r w:rsidRPr="00E67C8B">
        <w:rPr>
          <w:b/>
          <w:bCs/>
          <w:lang w:val="it-IT"/>
        </w:rPr>
        <w:t>Methodological</w:t>
      </w:r>
      <w:proofErr w:type="spellEnd"/>
      <w:r w:rsidRPr="00E67C8B">
        <w:rPr>
          <w:b/>
          <w:bCs/>
          <w:lang w:val="it-IT"/>
        </w:rPr>
        <w:t xml:space="preserve"> Report </w:t>
      </w:r>
    </w:p>
    <w:p w14:paraId="76672D99" w14:textId="61B33DF0" w:rsidR="326CFB0E" w:rsidRDefault="326CFB0E" w:rsidP="1593BE01">
      <w:pPr>
        <w:jc w:val="both"/>
        <w:rPr>
          <w:lang w:val="it-IT"/>
        </w:rPr>
      </w:pPr>
      <w:r w:rsidRPr="1593BE01">
        <w:rPr>
          <w:lang w:val="it-IT"/>
        </w:rPr>
        <w:t>Lorenzo Gardin</w:t>
      </w:r>
      <w:r w:rsidRPr="1593BE01">
        <w:rPr>
          <w:vertAlign w:val="superscript"/>
          <w:lang w:val="it-IT"/>
        </w:rPr>
        <w:t>1,2</w:t>
      </w:r>
      <w:r w:rsidRPr="1593BE01">
        <w:rPr>
          <w:lang w:val="it-IT"/>
        </w:rPr>
        <w:t>; Romina Lorenzetti</w:t>
      </w:r>
      <w:r w:rsidRPr="1593BE01">
        <w:rPr>
          <w:vertAlign w:val="superscript"/>
          <w:lang w:val="it-IT"/>
        </w:rPr>
        <w:t>1</w:t>
      </w:r>
      <w:r w:rsidRPr="1593BE01">
        <w:rPr>
          <w:lang w:val="it-IT"/>
        </w:rPr>
        <w:t>; Fabrizio Ungaro</w:t>
      </w:r>
      <w:r w:rsidRPr="1593BE01">
        <w:rPr>
          <w:vertAlign w:val="superscript"/>
          <w:lang w:val="it-IT"/>
        </w:rPr>
        <w:t>1</w:t>
      </w:r>
    </w:p>
    <w:p w14:paraId="0928095B" w14:textId="77777777" w:rsidR="008A7780" w:rsidRPr="008A7780" w:rsidRDefault="6663DFCF" w:rsidP="1593BE01">
      <w:pPr>
        <w:jc w:val="both"/>
        <w:rPr>
          <w:i/>
          <w:iCs/>
          <w:sz w:val="18"/>
          <w:szCs w:val="18"/>
          <w:lang w:val="it-IT"/>
        </w:rPr>
      </w:pPr>
      <w:r w:rsidRPr="1593BE01">
        <w:rPr>
          <w:i/>
          <w:iCs/>
          <w:sz w:val="18"/>
          <w:szCs w:val="18"/>
          <w:lang w:val="it-IT"/>
        </w:rPr>
        <w:t xml:space="preserve">1. CNR IBE, Via Madonna del Piano 10, 50019 Sesto Fiorentino (FI) </w:t>
      </w:r>
      <w:proofErr w:type="spellStart"/>
      <w:r w:rsidRPr="1593BE01">
        <w:rPr>
          <w:i/>
          <w:iCs/>
          <w:sz w:val="18"/>
          <w:szCs w:val="18"/>
          <w:lang w:val="it-IT"/>
        </w:rPr>
        <w:t>Italy</w:t>
      </w:r>
      <w:proofErr w:type="spellEnd"/>
    </w:p>
    <w:p w14:paraId="5FFB96BD" w14:textId="77777777" w:rsidR="008A7780" w:rsidRPr="008A7780" w:rsidRDefault="6663DFCF" w:rsidP="1593BE01">
      <w:pPr>
        <w:jc w:val="both"/>
        <w:rPr>
          <w:i/>
          <w:iCs/>
          <w:sz w:val="18"/>
          <w:szCs w:val="18"/>
          <w:lang w:val="it-IT"/>
        </w:rPr>
      </w:pPr>
      <w:r w:rsidRPr="1593BE01">
        <w:rPr>
          <w:i/>
          <w:iCs/>
          <w:sz w:val="18"/>
          <w:szCs w:val="18"/>
          <w:lang w:val="it-IT"/>
        </w:rPr>
        <w:t xml:space="preserve">2. </w:t>
      </w:r>
      <w:proofErr w:type="spellStart"/>
      <w:r w:rsidRPr="1593BE01">
        <w:rPr>
          <w:i/>
          <w:iCs/>
          <w:sz w:val="18"/>
          <w:szCs w:val="18"/>
          <w:lang w:val="it-IT"/>
        </w:rPr>
        <w:t>LaMMA</w:t>
      </w:r>
      <w:proofErr w:type="spellEnd"/>
      <w:r w:rsidRPr="1593BE01">
        <w:rPr>
          <w:i/>
          <w:iCs/>
          <w:sz w:val="18"/>
          <w:szCs w:val="18"/>
          <w:lang w:val="it-IT"/>
        </w:rPr>
        <w:t xml:space="preserve"> Consortium, Via Madonna del Piano 10, 50019 Sesto Fiorentino (FI) </w:t>
      </w:r>
      <w:proofErr w:type="spellStart"/>
      <w:r w:rsidRPr="1593BE01">
        <w:rPr>
          <w:i/>
          <w:iCs/>
          <w:sz w:val="18"/>
          <w:szCs w:val="18"/>
          <w:lang w:val="it-IT"/>
        </w:rPr>
        <w:t>Italy</w:t>
      </w:r>
      <w:proofErr w:type="spellEnd"/>
    </w:p>
    <w:p w14:paraId="52610182" w14:textId="77777777" w:rsidR="00A65993" w:rsidRPr="00B92844" w:rsidRDefault="00A65993" w:rsidP="1593BE01">
      <w:pPr>
        <w:jc w:val="both"/>
        <w:rPr>
          <w:sz w:val="18"/>
          <w:szCs w:val="18"/>
          <w:lang w:val="it-IT"/>
        </w:rPr>
      </w:pPr>
    </w:p>
    <w:p w14:paraId="1A06BC81" w14:textId="7C91ED4A" w:rsidR="009D1C64" w:rsidRPr="00623E6D" w:rsidRDefault="04B54B63" w:rsidP="1593BE01">
      <w:pPr>
        <w:jc w:val="both"/>
        <w:rPr>
          <w:b/>
          <w:bCs/>
        </w:rPr>
      </w:pPr>
      <w:r w:rsidRPr="1593BE01">
        <w:rPr>
          <w:b/>
          <w:bCs/>
        </w:rPr>
        <w:t>Introduction</w:t>
      </w:r>
    </w:p>
    <w:p w14:paraId="03C06DD9" w14:textId="77777777" w:rsidR="00895A13" w:rsidRPr="00895A13" w:rsidRDefault="00895A13" w:rsidP="00895A13">
      <w:pPr>
        <w:jc w:val="both"/>
      </w:pPr>
      <w:r w:rsidRPr="00895A13">
        <w:t>The internal EJP SOIL project SERENA contributed to the evaluation of soil multifunctionality aiming at providing assessment tools for land planning and soil policies at different scales. By co-working with relevant stakeholders, the project provided co-developed indicators and associated cookbooks to assess and map them, to report both on soil degradation, soil-based ecosystem services and their bundles, under actual conditions and for climate and land-use changes, at the regional, national, and European scales.</w:t>
      </w:r>
    </w:p>
    <w:p w14:paraId="5DF227D5" w14:textId="2D0EA1DC" w:rsidR="00E31B6E" w:rsidRDefault="0093060E" w:rsidP="1593BE01">
      <w:pPr>
        <w:jc w:val="both"/>
        <w:rPr>
          <w:lang w:val="en-US"/>
        </w:rPr>
      </w:pPr>
      <w:r w:rsidRPr="0093060E">
        <w:rPr>
          <w:lang w:val="en-US"/>
        </w:rPr>
        <w:t xml:space="preserve">The maps described here are prepared to assess soil ecosystem services in SERENA/EJP-Soil and to apply </w:t>
      </w:r>
      <w:r w:rsidR="00882C65">
        <w:rPr>
          <w:lang w:val="en-US"/>
        </w:rPr>
        <w:t>Soil Organic Carbon (</w:t>
      </w:r>
      <w:r w:rsidRPr="0093060E">
        <w:rPr>
          <w:lang w:val="en-US"/>
        </w:rPr>
        <w:t>SOC</w:t>
      </w:r>
      <w:r w:rsidR="00882C65">
        <w:rPr>
          <w:lang w:val="en-US"/>
        </w:rPr>
        <w:t>)</w:t>
      </w:r>
      <w:r w:rsidRPr="0093060E">
        <w:rPr>
          <w:lang w:val="en-US"/>
        </w:rPr>
        <w:t xml:space="preserve"> loss Cookbook and S</w:t>
      </w:r>
      <w:r w:rsidR="00155394">
        <w:rPr>
          <w:lang w:val="en-US"/>
        </w:rPr>
        <w:t>oil l</w:t>
      </w:r>
      <w:r w:rsidRPr="0093060E">
        <w:rPr>
          <w:lang w:val="en-US"/>
        </w:rPr>
        <w:t>oss Cookbook.</w:t>
      </w:r>
      <w:r w:rsidR="00E67C8B">
        <w:rPr>
          <w:lang w:val="en-US"/>
        </w:rPr>
        <w:t xml:space="preserve"> </w:t>
      </w:r>
      <w:r w:rsidR="008D525D" w:rsidRPr="008D525D">
        <w:t>In particular Soil organic Carbon content map was directly considered as an application of SOC loss Cookbook (DOI: </w:t>
      </w:r>
      <w:hyperlink r:id="rId6" w:history="1">
        <w:r w:rsidR="008D525D" w:rsidRPr="008D525D">
          <w:rPr>
            <w:rStyle w:val="Collegamentoipertestuale"/>
          </w:rPr>
          <w:t>10.5281/zenodo.13951265 </w:t>
        </w:r>
      </w:hyperlink>
      <w:r w:rsidR="008D525D" w:rsidRPr="008D525D">
        <w:t>Version 3).</w:t>
      </w:r>
    </w:p>
    <w:p w14:paraId="24F61399" w14:textId="2CA152F8" w:rsidR="009D1C64" w:rsidRPr="00623E6D" w:rsidRDefault="159221BD" w:rsidP="1593BE01">
      <w:pPr>
        <w:jc w:val="both"/>
        <w:rPr>
          <w:b/>
          <w:bCs/>
        </w:rPr>
      </w:pPr>
      <w:r w:rsidRPr="1593BE01">
        <w:t xml:space="preserve">Soil organic carbon </w:t>
      </w:r>
      <w:r w:rsidR="35DA9643" w:rsidRPr="1593BE01">
        <w:t>stock</w:t>
      </w:r>
      <w:r w:rsidR="00155394">
        <w:t xml:space="preserve"> (C-stock)</w:t>
      </w:r>
      <w:r w:rsidR="35DA9643" w:rsidRPr="1593BE01">
        <w:t xml:space="preserve"> </w:t>
      </w:r>
      <w:r w:rsidRPr="1593BE01">
        <w:t>(</w:t>
      </w:r>
      <w:r w:rsidR="0E2D7C73" w:rsidRPr="1593BE01">
        <w:t>t/ha</w:t>
      </w:r>
      <w:r w:rsidRPr="1593BE01">
        <w:t xml:space="preserve">) has been a focal point in the IPCC greenhouse gas (GHG) reporting program since the mid-1990s. This focus emerged to address the role of intensive land management and large areas of degraded land in contributing to GHG emissions, which led to significant historical losses of </w:t>
      </w:r>
      <w:r w:rsidR="160D7E62" w:rsidRPr="1593BE01">
        <w:t>C stock</w:t>
      </w:r>
      <w:r w:rsidRPr="1593BE01">
        <w:t xml:space="preserve"> and present a high potential for future carbon storage. In recent years, many researchers have emphasized the critical role of healthy soils, with SOC</w:t>
      </w:r>
      <w:r w:rsidR="2429ECF6" w:rsidRPr="1593BE01">
        <w:t xml:space="preserve"> and C</w:t>
      </w:r>
      <w:r w:rsidR="007F5512">
        <w:t xml:space="preserve"> </w:t>
      </w:r>
      <w:r w:rsidR="2429ECF6" w:rsidRPr="1593BE01">
        <w:t>stock</w:t>
      </w:r>
      <w:r w:rsidRPr="1593BE01">
        <w:t xml:space="preserve"> being the key indicator, in ensuring food security and resilience to climate change. As a result, SOC, along with various other physical, chemical, and biological health indicators, has become essential for supporting the EU Soil Monitoring Law and advancing multiple United Nations Sustainable Development Goals.</w:t>
      </w:r>
    </w:p>
    <w:p w14:paraId="412FEC95" w14:textId="6E81195C" w:rsidR="7027C9B3" w:rsidRDefault="7027C9B3" w:rsidP="1593BE01">
      <w:pPr>
        <w:jc w:val="both"/>
      </w:pPr>
      <w:r w:rsidRPr="1593BE01">
        <w:t xml:space="preserve">Particle size (clay, sand, silt, and fragment content) </w:t>
      </w:r>
      <w:r w:rsidR="00E31B6E">
        <w:t xml:space="preserve">are </w:t>
      </w:r>
      <w:r w:rsidRPr="1593BE01">
        <w:t>crucial p</w:t>
      </w:r>
      <w:r w:rsidR="294F52A1" w:rsidRPr="1593BE01">
        <w:t>arameter</w:t>
      </w:r>
      <w:r w:rsidR="00E31B6E">
        <w:t>s</w:t>
      </w:r>
      <w:r w:rsidR="294F52A1" w:rsidRPr="1593BE01">
        <w:t xml:space="preserve"> </w:t>
      </w:r>
      <w:r w:rsidRPr="1593BE01">
        <w:t xml:space="preserve">for soil </w:t>
      </w:r>
      <w:r w:rsidR="3AF32F2B" w:rsidRPr="1593BE01">
        <w:t xml:space="preserve">hydrological </w:t>
      </w:r>
      <w:r w:rsidR="413D601E" w:rsidRPr="1593BE01">
        <w:t>and physical fertility properties</w:t>
      </w:r>
      <w:r w:rsidR="6434B6E2" w:rsidRPr="1593BE01">
        <w:t xml:space="preserve"> </w:t>
      </w:r>
      <w:r w:rsidR="7171CD37" w:rsidRPr="1593BE01">
        <w:t>(</w:t>
      </w:r>
      <w:r w:rsidR="413D601E" w:rsidRPr="1593BE01">
        <w:t>such as</w:t>
      </w:r>
      <w:r w:rsidR="0D9C3F0B" w:rsidRPr="1593BE01">
        <w:t xml:space="preserve"> </w:t>
      </w:r>
      <w:r w:rsidR="413D601E" w:rsidRPr="1593BE01">
        <w:t xml:space="preserve">soil structure, porosity, water </w:t>
      </w:r>
      <w:r w:rsidR="21E3AD76" w:rsidRPr="1593BE01">
        <w:t>content,</w:t>
      </w:r>
      <w:r w:rsidR="22168783" w:rsidRPr="1593BE01">
        <w:t xml:space="preserve"> buffering, </w:t>
      </w:r>
      <w:r w:rsidR="38F7EAE6" w:rsidRPr="1593BE01">
        <w:t>conductibility</w:t>
      </w:r>
      <w:r w:rsidR="22168783" w:rsidRPr="1593BE01">
        <w:t xml:space="preserve"> etc..)</w:t>
      </w:r>
      <w:r w:rsidR="71EAA4A0" w:rsidRPr="1593BE01">
        <w:t xml:space="preserve"> and, together with pH</w:t>
      </w:r>
      <w:r w:rsidR="6D20DF06" w:rsidRPr="1593BE01">
        <w:t xml:space="preserve"> and bulk density </w:t>
      </w:r>
      <w:r w:rsidR="2C5114BA" w:rsidRPr="1593BE01">
        <w:t xml:space="preserve">are important in </w:t>
      </w:r>
      <w:r w:rsidR="71EAA4A0" w:rsidRPr="1593BE01">
        <w:t>the land capability</w:t>
      </w:r>
      <w:r w:rsidR="68FD6062" w:rsidRPr="1593BE01">
        <w:t xml:space="preserve"> evaluation</w:t>
      </w:r>
      <w:r w:rsidR="048034E2" w:rsidRPr="1593BE01">
        <w:t>.</w:t>
      </w:r>
    </w:p>
    <w:p w14:paraId="783F67AD" w14:textId="77777777" w:rsidR="00B81ED3" w:rsidRPr="00C667DC" w:rsidRDefault="00B81ED3" w:rsidP="00B81ED3">
      <w:pPr>
        <w:pStyle w:val="Titolo2"/>
        <w:numPr>
          <w:ilvl w:val="0"/>
          <w:numId w:val="0"/>
        </w:numPr>
        <w:rPr>
          <w:rFonts w:cstheme="minorHAnsi"/>
          <w:b/>
          <w:bCs/>
          <w:sz w:val="22"/>
          <w:szCs w:val="22"/>
        </w:rPr>
      </w:pPr>
      <w:r w:rsidRPr="00C667DC">
        <w:rPr>
          <w:rFonts w:cstheme="minorHAnsi"/>
          <w:b/>
          <w:bCs/>
          <w:sz w:val="22"/>
          <w:szCs w:val="22"/>
        </w:rPr>
        <w:t>Study area</w:t>
      </w:r>
    </w:p>
    <w:p w14:paraId="3379471E" w14:textId="77777777" w:rsidR="00B81ED3" w:rsidRPr="00623E6D" w:rsidRDefault="00B81ED3" w:rsidP="00B81ED3">
      <w:pPr>
        <w:jc w:val="both"/>
        <w:rPr>
          <w:rFonts w:cstheme="minorHAnsi"/>
        </w:rPr>
      </w:pPr>
      <w:r w:rsidRPr="00623E6D">
        <w:rPr>
          <w:rFonts w:cstheme="minorHAnsi"/>
        </w:rPr>
        <w:t>Tuscany covers an area of about 23,000 km² (9°-12° East longitude, 42°-44° North latitude) and is characterized by a diverse landscape, climate, and land cover. The topography of the region ranges from coastal plains and large river valleys to hilly and mountainous areas approaching the Apennine chain. The climate varies from Mediterranean near the coast to temperate, warm or cold, depending on altitude, latitude and distance from the sea.</w:t>
      </w:r>
    </w:p>
    <w:p w14:paraId="4EAA19B2" w14:textId="3F4858AF" w:rsidR="00B81ED3" w:rsidRPr="00623E6D" w:rsidRDefault="00B81ED3" w:rsidP="027BE04B">
      <w:pPr>
        <w:jc w:val="both"/>
      </w:pPr>
      <w:r w:rsidRPr="027BE04B">
        <w:t>In terms of land use, the plains are mainly occupied by urban developments and agricultural activities, while the hills and mountains are a patchwork of farmland</w:t>
      </w:r>
      <w:r w:rsidR="237E81CF" w:rsidRPr="027BE04B">
        <w:t>, grassland</w:t>
      </w:r>
      <w:r w:rsidRPr="027BE04B">
        <w:t xml:space="preserve"> and forest. Around 25% of the land is dedicated to seasonal crops like wheat, corn, and vegetables, whereas tree crops such as vineyards and olive groves account for approximately 5%. Forests cover nearly half of Tuscany’s surface, predominantly consisting of Mediterranean pines (Pinus </w:t>
      </w:r>
      <w:proofErr w:type="spellStart"/>
      <w:r w:rsidRPr="027BE04B">
        <w:t>pinea</w:t>
      </w:r>
      <w:proofErr w:type="spellEnd"/>
      <w:r w:rsidRPr="027BE04B">
        <w:t xml:space="preserve"> L., P. pinaster Ait.), oaks (Quercus ilex L., Q. </w:t>
      </w:r>
      <w:proofErr w:type="spellStart"/>
      <w:r w:rsidRPr="027BE04B">
        <w:t>pubescens</w:t>
      </w:r>
      <w:proofErr w:type="spellEnd"/>
      <w:r w:rsidRPr="027BE04B">
        <w:t xml:space="preserve"> </w:t>
      </w:r>
      <w:proofErr w:type="spellStart"/>
      <w:r w:rsidRPr="027BE04B">
        <w:t>Willd</w:t>
      </w:r>
      <w:proofErr w:type="spellEnd"/>
      <w:r w:rsidRPr="027BE04B">
        <w:t xml:space="preserve">., Q. cerris L.), beech trees (Fagus sylvatica L.), white fir (Abies alba Mill.), and other species, including Pinus nigra Arnold, Cupressus sempervirens L., and Ostrya </w:t>
      </w:r>
      <w:proofErr w:type="spellStart"/>
      <w:r w:rsidRPr="027BE04B">
        <w:t>carpinifolia</w:t>
      </w:r>
      <w:proofErr w:type="spellEnd"/>
      <w:r w:rsidRPr="027BE04B">
        <w:t xml:space="preserve"> Scop.</w:t>
      </w:r>
    </w:p>
    <w:p w14:paraId="75C9DB1D" w14:textId="164D269F" w:rsidR="1593BE01" w:rsidRDefault="1593BE01" w:rsidP="1593BE01">
      <w:pPr>
        <w:jc w:val="both"/>
        <w:rPr>
          <w:b/>
          <w:bCs/>
        </w:rPr>
      </w:pPr>
    </w:p>
    <w:p w14:paraId="3F194A45" w14:textId="02B9F6A9" w:rsidR="003D4595" w:rsidRPr="00623E6D" w:rsidRDefault="3939FC6A" w:rsidP="1593BE01">
      <w:pPr>
        <w:jc w:val="both"/>
        <w:rPr>
          <w:b/>
          <w:bCs/>
          <w:lang w:eastAsia="it-IT"/>
        </w:rPr>
      </w:pPr>
      <w:r w:rsidRPr="1593BE01">
        <w:rPr>
          <w:rFonts w:eastAsiaTheme="minorEastAsia"/>
          <w:b/>
          <w:bCs/>
          <w:lang w:eastAsia="it-IT"/>
        </w:rPr>
        <w:t xml:space="preserve">Materials: </w:t>
      </w:r>
      <w:r w:rsidR="4F49F7F0" w:rsidRPr="1593BE01">
        <w:rPr>
          <w:rFonts w:eastAsiaTheme="minorEastAsia"/>
          <w:b/>
          <w:bCs/>
          <w:lang w:eastAsia="it-IT"/>
        </w:rPr>
        <w:t xml:space="preserve">Reference </w:t>
      </w:r>
      <w:r w:rsidR="2B6E025A" w:rsidRPr="1593BE01">
        <w:rPr>
          <w:rFonts w:eastAsia="Times New Roman"/>
          <w:b/>
          <w:bCs/>
          <w:lang w:eastAsia="it-IT"/>
        </w:rPr>
        <w:t>properties</w:t>
      </w:r>
      <w:r w:rsidR="4F49F7F0" w:rsidRPr="1593BE01">
        <w:rPr>
          <w:rFonts w:eastAsia="Times New Roman"/>
          <w:b/>
          <w:bCs/>
          <w:lang w:eastAsia="it-IT"/>
        </w:rPr>
        <w:t xml:space="preserve"> </w:t>
      </w:r>
      <w:r w:rsidR="32C450FA" w:rsidRPr="1593BE01">
        <w:rPr>
          <w:rFonts w:eastAsia="Times New Roman"/>
          <w:b/>
          <w:bCs/>
          <w:lang w:eastAsia="it-IT"/>
        </w:rPr>
        <w:t>o</w:t>
      </w:r>
      <w:r w:rsidR="4F49F7F0" w:rsidRPr="1593BE01">
        <w:rPr>
          <w:rFonts w:eastAsia="Times New Roman"/>
          <w:b/>
          <w:bCs/>
          <w:lang w:eastAsia="it-IT"/>
        </w:rPr>
        <w:t>bservations</w:t>
      </w:r>
      <w:r w:rsidR="3F6C5C70" w:rsidRPr="1593BE01">
        <w:rPr>
          <w:rFonts w:eastAsia="Times New Roman"/>
          <w:b/>
          <w:bCs/>
          <w:lang w:eastAsia="it-IT"/>
        </w:rPr>
        <w:t>,</w:t>
      </w:r>
      <w:r w:rsidR="13E66C57" w:rsidRPr="1593BE01">
        <w:rPr>
          <w:rFonts w:eastAsia="Times New Roman"/>
          <w:b/>
          <w:bCs/>
          <w:lang w:eastAsia="it-IT"/>
        </w:rPr>
        <w:t xml:space="preserve"> a</w:t>
      </w:r>
      <w:r w:rsidR="19A0F606" w:rsidRPr="1593BE01">
        <w:rPr>
          <w:b/>
          <w:bCs/>
        </w:rPr>
        <w:t>ncillary and remote sensing datasets</w:t>
      </w:r>
    </w:p>
    <w:p w14:paraId="0B6EBC56" w14:textId="0FAFF490" w:rsidR="0097467A" w:rsidRDefault="00D05C87" w:rsidP="2D063A17">
      <w:pPr>
        <w:jc w:val="both"/>
      </w:pPr>
      <w:r>
        <w:lastRenderedPageBreak/>
        <w:t xml:space="preserve">A dataset of detailed analyses of soil profile horizons collected in Tuscany from 1990 to the present was used for data processing. The horizons considered are the mineral horizons located within </w:t>
      </w:r>
      <w:r w:rsidR="018FD7E3">
        <w:t>30</w:t>
      </w:r>
      <w:r>
        <w:t xml:space="preserve"> </w:t>
      </w:r>
      <w:proofErr w:type="spellStart"/>
      <w:r w:rsidR="6EDBA6CA">
        <w:t>centi</w:t>
      </w:r>
      <w:r>
        <w:t>meters</w:t>
      </w:r>
      <w:proofErr w:type="spellEnd"/>
      <w:r>
        <w:t xml:space="preserve"> from the surface for mineral soils and the organic horizons for organic soils, in accordance with the Soil Survey Manual (Soil Survey Staff, 1993). The values ​​for the soil section from 0 to </w:t>
      </w:r>
      <w:r w:rsidR="56A29E79">
        <w:t>30</w:t>
      </w:r>
      <w:r>
        <w:t xml:space="preserve"> </w:t>
      </w:r>
      <w:proofErr w:type="spellStart"/>
      <w:r w:rsidR="038DA28E">
        <w:t>centi</w:t>
      </w:r>
      <w:r>
        <w:t>meters</w:t>
      </w:r>
      <w:proofErr w:type="spellEnd"/>
      <w:r>
        <w:t xml:space="preserve"> were calculated by weighting the properties of each horizon according to its thickness within that depth.</w:t>
      </w:r>
      <w:r w:rsidR="00945682">
        <w:t xml:space="preserve"> </w:t>
      </w:r>
      <w:r w:rsidR="6638E651">
        <w:t>L</w:t>
      </w:r>
      <w:r w:rsidR="4F49F7F0">
        <w:t xml:space="preserve">aboratory </w:t>
      </w:r>
      <w:r w:rsidR="10846781">
        <w:t>analyses</w:t>
      </w:r>
      <w:r w:rsidR="6638E651">
        <w:t xml:space="preserve"> </w:t>
      </w:r>
      <w:r w:rsidR="4F49F7F0">
        <w:t>follow</w:t>
      </w:r>
      <w:r w:rsidR="1820EE4A">
        <w:t xml:space="preserve">ed </w:t>
      </w:r>
      <w:r w:rsidR="4F49F7F0">
        <w:t>official soil analysis standards (</w:t>
      </w:r>
      <w:proofErr w:type="spellStart"/>
      <w:r w:rsidR="4F49F7F0">
        <w:t>MiPAAF</w:t>
      </w:r>
      <w:proofErr w:type="spellEnd"/>
      <w:r w:rsidR="4F49F7F0">
        <w:t xml:space="preserve">, 1999). </w:t>
      </w:r>
    </w:p>
    <w:p w14:paraId="499936D7" w14:textId="7AC066EE" w:rsidR="009B2A3A" w:rsidRPr="00623E6D" w:rsidRDefault="006B643C" w:rsidP="1593BE01">
      <w:pPr>
        <w:jc w:val="both"/>
      </w:pPr>
      <w:r>
        <w:t>Soil data</w:t>
      </w:r>
      <w:r w:rsidR="00C7547D">
        <w:t xml:space="preserve">set </w:t>
      </w:r>
      <w:r w:rsidR="00CA4A2C">
        <w:t xml:space="preserve">was extract from </w:t>
      </w:r>
      <w:r w:rsidR="00C7547D" w:rsidRPr="00CA4A2C">
        <w:t>Tuscany Region soil database</w:t>
      </w:r>
      <w:r w:rsidR="00CA4A2C" w:rsidRPr="00CA4A2C">
        <w:t>,</w:t>
      </w:r>
      <w:r w:rsidR="00C7547D" w:rsidRPr="00CA4A2C">
        <w:t xml:space="preserve"> available at </w:t>
      </w:r>
      <w:proofErr w:type="spellStart"/>
      <w:r w:rsidR="00C7547D" w:rsidRPr="00CA4A2C">
        <w:t>Geoscopio</w:t>
      </w:r>
      <w:proofErr w:type="spellEnd"/>
      <w:r w:rsidR="00C7547D" w:rsidRPr="00CA4A2C">
        <w:t xml:space="preserve"> (https://www502.regione.toscana.it/geoscopio/pedologia.html) and </w:t>
      </w:r>
      <w:r w:rsidR="00CA4A2C" w:rsidRPr="00CA4A2C">
        <w:t xml:space="preserve">from </w:t>
      </w:r>
      <w:r w:rsidR="00C7547D" w:rsidRPr="00CA4A2C">
        <w:t>point soil data not freely available (Lamma Consortium).</w:t>
      </w:r>
    </w:p>
    <w:p w14:paraId="0C1A12E7" w14:textId="77777777" w:rsidR="00B007B9" w:rsidRPr="00B007B9" w:rsidRDefault="00B007B9" w:rsidP="00B007B9">
      <w:pPr>
        <w:jc w:val="both"/>
        <w:rPr>
          <w:rFonts w:eastAsia="Times New Roman" w:cstheme="minorHAnsi"/>
          <w:lang w:eastAsia="it-IT"/>
        </w:rPr>
      </w:pPr>
      <w:r w:rsidRPr="00CA4A2C">
        <w:t>Numerous spatial covariates, both categorical and numerical, have been prepared for data processing; the</w:t>
      </w:r>
      <w:r w:rsidRPr="00B007B9">
        <w:rPr>
          <w:rFonts w:eastAsia="Times New Roman" w:cstheme="minorHAnsi"/>
          <w:lang w:eastAsia="it-IT"/>
        </w:rPr>
        <w:t xml:space="preserve"> reference DEM has a resolution of 100 m, resampled from the 30 m SRTM DEM.</w:t>
      </w:r>
    </w:p>
    <w:p w14:paraId="5F53DAB8" w14:textId="165FF1B3" w:rsidR="00B007B9" w:rsidRPr="00B007B9" w:rsidRDefault="00B007B9" w:rsidP="00B007B9">
      <w:pPr>
        <w:jc w:val="both"/>
        <w:rPr>
          <w:rFonts w:eastAsia="Times New Roman" w:cstheme="minorHAnsi"/>
          <w:lang w:eastAsia="it-IT"/>
        </w:rPr>
      </w:pPr>
      <w:r w:rsidRPr="00B007B9">
        <w:rPr>
          <w:rFonts w:eastAsia="Times New Roman" w:cstheme="minorHAnsi"/>
          <w:lang w:eastAsia="it-IT"/>
        </w:rPr>
        <w:t xml:space="preserve">Many covariates consist of elaborations derived from the DEM, morphometric indices such as slope, curvature, topographic </w:t>
      </w:r>
      <w:r w:rsidR="00B772C1">
        <w:rPr>
          <w:rFonts w:eastAsia="Times New Roman" w:cstheme="minorHAnsi"/>
          <w:lang w:eastAsia="it-IT"/>
        </w:rPr>
        <w:t>wetne</w:t>
      </w:r>
      <w:r w:rsidR="00503D35">
        <w:rPr>
          <w:rFonts w:eastAsia="Times New Roman" w:cstheme="minorHAnsi"/>
          <w:lang w:eastAsia="it-IT"/>
        </w:rPr>
        <w:t>s</w:t>
      </w:r>
      <w:r w:rsidR="00B772C1">
        <w:rPr>
          <w:rFonts w:eastAsia="Times New Roman" w:cstheme="minorHAnsi"/>
          <w:lang w:eastAsia="it-IT"/>
        </w:rPr>
        <w:t>s</w:t>
      </w:r>
      <w:r w:rsidRPr="00B007B9">
        <w:rPr>
          <w:rFonts w:eastAsia="Times New Roman" w:cstheme="minorHAnsi"/>
          <w:lang w:eastAsia="it-IT"/>
        </w:rPr>
        <w:t xml:space="preserve"> index, solar radiation potential, multilength valley floor flatness index (MRVBF), et cetera.</w:t>
      </w:r>
    </w:p>
    <w:p w14:paraId="45C13A99" w14:textId="3F9AE388" w:rsidR="00132C3E" w:rsidRDefault="195B70B5" w:rsidP="1593BE01">
      <w:pPr>
        <w:jc w:val="both"/>
        <w:rPr>
          <w:rFonts w:eastAsia="Times New Roman"/>
          <w:lang w:eastAsia="it-IT"/>
        </w:rPr>
      </w:pPr>
      <w:r w:rsidRPr="1593BE01">
        <w:rPr>
          <w:rFonts w:eastAsia="Times New Roman"/>
          <w:lang w:eastAsia="it-IT"/>
        </w:rPr>
        <w:t xml:space="preserve">The meteorological data, with a spatial resolution of 250 meters, were obtained from the regional database of the </w:t>
      </w:r>
      <w:proofErr w:type="spellStart"/>
      <w:r w:rsidRPr="1593BE01">
        <w:rPr>
          <w:rFonts w:eastAsia="Times New Roman"/>
          <w:lang w:eastAsia="it-IT"/>
        </w:rPr>
        <w:t>LaMMA</w:t>
      </w:r>
      <w:proofErr w:type="spellEnd"/>
      <w:r w:rsidRPr="1593BE01">
        <w:rPr>
          <w:rFonts w:eastAsia="Times New Roman"/>
          <w:lang w:eastAsia="it-IT"/>
        </w:rPr>
        <w:t xml:space="preserve"> Consortium and were processed into various indices such as mean annual temperature, mean annual precipitation and aridity indices (Aridity Index, Fournier, </w:t>
      </w:r>
      <w:proofErr w:type="spellStart"/>
      <w:r w:rsidRPr="1593BE01">
        <w:rPr>
          <w:rFonts w:eastAsia="Times New Roman"/>
          <w:lang w:eastAsia="it-IT"/>
        </w:rPr>
        <w:t>Bagnouls</w:t>
      </w:r>
      <w:proofErr w:type="spellEnd"/>
      <w:r w:rsidRPr="1593BE01">
        <w:rPr>
          <w:rFonts w:eastAsia="Times New Roman"/>
          <w:lang w:eastAsia="it-IT"/>
        </w:rPr>
        <w:t xml:space="preserve"> and </w:t>
      </w:r>
      <w:proofErr w:type="spellStart"/>
      <w:r w:rsidRPr="1593BE01">
        <w:rPr>
          <w:rFonts w:eastAsia="Times New Roman"/>
          <w:lang w:eastAsia="it-IT"/>
        </w:rPr>
        <w:t>Gaussen</w:t>
      </w:r>
      <w:proofErr w:type="spellEnd"/>
      <w:r w:rsidRPr="1593BE01">
        <w:rPr>
          <w:rFonts w:eastAsia="Times New Roman"/>
          <w:lang w:eastAsia="it-IT"/>
        </w:rPr>
        <w:t xml:space="preserve"> </w:t>
      </w:r>
      <w:r w:rsidR="00D2106F">
        <w:rPr>
          <w:rFonts w:eastAsia="Times New Roman"/>
          <w:lang w:eastAsia="it-IT"/>
        </w:rPr>
        <w:t>I</w:t>
      </w:r>
      <w:r w:rsidRPr="1593BE01">
        <w:rPr>
          <w:rFonts w:eastAsia="Times New Roman"/>
          <w:lang w:eastAsia="it-IT"/>
        </w:rPr>
        <w:t xml:space="preserve">ndex). </w:t>
      </w:r>
    </w:p>
    <w:p w14:paraId="7BA45995" w14:textId="34C1EFF5" w:rsidR="00132C3E" w:rsidRDefault="00C128E5" w:rsidP="1593BE01">
      <w:pPr>
        <w:jc w:val="both"/>
        <w:rPr>
          <w:rFonts w:eastAsia="Times New Roman"/>
          <w:lang w:eastAsia="it-IT"/>
        </w:rPr>
      </w:pPr>
      <w:r w:rsidRPr="00C128E5">
        <w:rPr>
          <w:rFonts w:eastAsia="Times New Roman"/>
          <w:lang w:eastAsia="it-IT"/>
        </w:rPr>
        <w:t xml:space="preserve">Some thematic vector layers are also used such as the lithology of the source materials, the soil map and the land use available in the </w:t>
      </w:r>
      <w:proofErr w:type="spellStart"/>
      <w:r w:rsidRPr="00C128E5">
        <w:rPr>
          <w:rFonts w:eastAsia="Times New Roman"/>
          <w:lang w:eastAsia="it-IT"/>
        </w:rPr>
        <w:t>webgis</w:t>
      </w:r>
      <w:proofErr w:type="spellEnd"/>
      <w:r w:rsidRPr="00C128E5">
        <w:rPr>
          <w:rFonts w:eastAsia="Times New Roman"/>
          <w:lang w:eastAsia="it-IT"/>
        </w:rPr>
        <w:t xml:space="preserve"> Geoportal of the Tuscany Region</w:t>
      </w:r>
      <w:r w:rsidR="1C66FDE9" w:rsidRPr="1593BE01">
        <w:rPr>
          <w:rFonts w:eastAsia="Times New Roman"/>
          <w:lang w:eastAsia="it-IT"/>
        </w:rPr>
        <w:t xml:space="preserve">, </w:t>
      </w:r>
      <w:proofErr w:type="spellStart"/>
      <w:r w:rsidR="195B70B5" w:rsidRPr="1593BE01">
        <w:rPr>
          <w:rFonts w:eastAsia="Times New Roman"/>
          <w:lang w:eastAsia="it-IT"/>
        </w:rPr>
        <w:t>Geoscop</w:t>
      </w:r>
      <w:r w:rsidR="1D89164B" w:rsidRPr="1593BE01">
        <w:rPr>
          <w:rFonts w:eastAsia="Times New Roman"/>
          <w:lang w:eastAsia="it-IT"/>
        </w:rPr>
        <w:t>io</w:t>
      </w:r>
      <w:proofErr w:type="spellEnd"/>
      <w:r w:rsidR="4B11D1FF" w:rsidRPr="1593BE01">
        <w:rPr>
          <w:rFonts w:eastAsia="Times New Roman"/>
          <w:lang w:eastAsia="it-IT"/>
        </w:rPr>
        <w:t xml:space="preserve"> (https://www502.regione.toscana.it/geoscopio/cartoteca.html)</w:t>
      </w:r>
      <w:r w:rsidR="2F187263" w:rsidRPr="1593BE01">
        <w:rPr>
          <w:rFonts w:eastAsia="Times New Roman"/>
          <w:lang w:eastAsia="it-IT"/>
        </w:rPr>
        <w:t>.</w:t>
      </w:r>
    </w:p>
    <w:p w14:paraId="515B9342" w14:textId="67C26260" w:rsidR="00A24361" w:rsidRPr="00623E6D" w:rsidRDefault="195B70B5" w:rsidP="1593BE01">
      <w:pPr>
        <w:jc w:val="both"/>
        <w:rPr>
          <w:u w:val="single"/>
        </w:rPr>
      </w:pPr>
      <w:r w:rsidRPr="1593BE01">
        <w:rPr>
          <w:rFonts w:eastAsia="Times New Roman"/>
          <w:lang w:eastAsia="it-IT"/>
        </w:rPr>
        <w:t xml:space="preserve">Finally, some vegetation indices </w:t>
      </w:r>
      <w:r w:rsidR="31DBA21B" w:rsidRPr="1593BE01">
        <w:rPr>
          <w:rFonts w:eastAsia="Times New Roman"/>
          <w:lang w:eastAsia="it-IT"/>
        </w:rPr>
        <w:t xml:space="preserve">were obtained from </w:t>
      </w:r>
      <w:r w:rsidRPr="1593BE01">
        <w:rPr>
          <w:rFonts w:eastAsia="Times New Roman"/>
          <w:lang w:eastAsia="it-IT"/>
        </w:rPr>
        <w:t>remote sensing, such as the NDVI (average value of the month of July) and the Short-wave infrared (SWIR) (average values of the 12 Sentinel band of the summer period and the winter value)</w:t>
      </w:r>
      <w:r w:rsidR="67D0B06C" w:rsidRPr="1593BE01">
        <w:rPr>
          <w:rFonts w:eastAsia="Times New Roman"/>
          <w:lang w:eastAsia="it-IT"/>
        </w:rPr>
        <w:t>.</w:t>
      </w:r>
    </w:p>
    <w:p w14:paraId="470D1942" w14:textId="08D4894E" w:rsidR="00055EB5" w:rsidRPr="00623E6D" w:rsidRDefault="6A0225DB" w:rsidP="1593BE01">
      <w:pPr>
        <w:jc w:val="both"/>
        <w:rPr>
          <w:b/>
          <w:bCs/>
        </w:rPr>
      </w:pPr>
      <w:r w:rsidRPr="1593BE01">
        <w:rPr>
          <w:b/>
          <w:bCs/>
        </w:rPr>
        <w:t>Data processing</w:t>
      </w:r>
    </w:p>
    <w:p w14:paraId="5F80F96A" w14:textId="0F5B8268" w:rsidR="00055EB5" w:rsidRPr="00623E6D" w:rsidRDefault="6A0225DB" w:rsidP="1593BE01">
      <w:pPr>
        <w:jc w:val="both"/>
      </w:pPr>
      <w:r w:rsidRPr="1593BE01">
        <w:t>In accordance with the methodology reported in the Soil Organic Carbon Mapping Cookbook (</w:t>
      </w:r>
      <w:proofErr w:type="spellStart"/>
      <w:r w:rsidRPr="1593BE01">
        <w:t>Yigini</w:t>
      </w:r>
      <w:proofErr w:type="spellEnd"/>
      <w:r w:rsidRPr="1593BE01">
        <w:t xml:space="preserve"> et al., 2018), </w:t>
      </w:r>
      <w:r w:rsidR="3A30B740" w:rsidRPr="1593BE01">
        <w:t>th</w:t>
      </w:r>
      <w:r w:rsidRPr="1593BE01">
        <w:t xml:space="preserve">e </w:t>
      </w:r>
      <w:r w:rsidR="3A30B740" w:rsidRPr="1593BE01">
        <w:t xml:space="preserve">following </w:t>
      </w:r>
      <w:r w:rsidRPr="1593BE01">
        <w:t>soil properties</w:t>
      </w:r>
      <w:r w:rsidR="18854707" w:rsidRPr="1593BE01">
        <w:t xml:space="preserve"> were mapped for all Tuscany Region: </w:t>
      </w:r>
    </w:p>
    <w:p w14:paraId="7876D7D9" w14:textId="5010F551" w:rsidR="00055EB5" w:rsidRPr="00623E6D" w:rsidRDefault="6A0225DB" w:rsidP="1593BE01">
      <w:pPr>
        <w:pStyle w:val="Paragrafoelenco"/>
        <w:numPr>
          <w:ilvl w:val="0"/>
          <w:numId w:val="1"/>
        </w:numPr>
        <w:jc w:val="both"/>
      </w:pPr>
      <w:r>
        <w:t xml:space="preserve">soil organic carbon content </w:t>
      </w:r>
      <w:r w:rsidR="0B2004A3">
        <w:t>(</w:t>
      </w:r>
      <w:proofErr w:type="spellStart"/>
      <w:r w:rsidR="009A4789">
        <w:t>dag</w:t>
      </w:r>
      <w:proofErr w:type="spellEnd"/>
      <w:r w:rsidR="009A4789">
        <w:t>/</w:t>
      </w:r>
      <w:r w:rsidR="009B1572">
        <w:t>kg</w:t>
      </w:r>
      <w:r w:rsidR="0B2004A3">
        <w:t>)</w:t>
      </w:r>
      <w:r>
        <w:t>,</w:t>
      </w:r>
    </w:p>
    <w:p w14:paraId="3F5D9220" w14:textId="3ACC24E0" w:rsidR="00055EB5" w:rsidRPr="00623E6D" w:rsidRDefault="6A0225DB" w:rsidP="1593BE01">
      <w:pPr>
        <w:pStyle w:val="Paragrafoelenco"/>
        <w:numPr>
          <w:ilvl w:val="0"/>
          <w:numId w:val="1"/>
        </w:numPr>
        <w:jc w:val="both"/>
      </w:pPr>
      <w:r w:rsidRPr="1593BE01">
        <w:t>soil organic carbon stock</w:t>
      </w:r>
      <w:r w:rsidR="7CBCEFB8" w:rsidRPr="1593BE01">
        <w:t xml:space="preserve"> (t/ha)</w:t>
      </w:r>
      <w:r w:rsidR="30C4B233" w:rsidRPr="1593BE01">
        <w:t>,</w:t>
      </w:r>
    </w:p>
    <w:p w14:paraId="21240716" w14:textId="07D790DD" w:rsidR="00055EB5" w:rsidRDefault="309CAAAF" w:rsidP="1593BE01">
      <w:pPr>
        <w:pStyle w:val="Paragrafoelenco"/>
        <w:numPr>
          <w:ilvl w:val="0"/>
          <w:numId w:val="1"/>
        </w:numPr>
        <w:jc w:val="both"/>
      </w:pPr>
      <w:r w:rsidRPr="2D063A17">
        <w:rPr>
          <w:rFonts w:ascii="Calibri" w:eastAsia="Calibri" w:hAnsi="Calibri" w:cs="Calibri"/>
          <w:color w:val="000000" w:themeColor="text1"/>
        </w:rPr>
        <w:t xml:space="preserve">textural </w:t>
      </w:r>
      <w:r w:rsidRPr="2D063A17">
        <w:rPr>
          <w:rFonts w:ascii="Calibri" w:eastAsia="Calibri" w:hAnsi="Calibri" w:cs="Calibri"/>
          <w:color w:val="000000" w:themeColor="text1"/>
          <w:lang w:val="en-US"/>
        </w:rPr>
        <w:t>fractions</w:t>
      </w:r>
      <w:r w:rsidR="0355F782">
        <w:t xml:space="preserve"> (</w:t>
      </w:r>
      <w:proofErr w:type="spellStart"/>
      <w:r w:rsidR="009B1572">
        <w:t>dag</w:t>
      </w:r>
      <w:proofErr w:type="spellEnd"/>
      <w:r w:rsidR="009B1572">
        <w:t>/kg</w:t>
      </w:r>
      <w:r w:rsidR="0355F782">
        <w:t>)</w:t>
      </w:r>
      <w:r w:rsidR="6A0225DB">
        <w:t xml:space="preserve">, </w:t>
      </w:r>
    </w:p>
    <w:p w14:paraId="36963EF8" w14:textId="22DF98D1" w:rsidR="009B1572" w:rsidRPr="00623E6D" w:rsidRDefault="009B1572" w:rsidP="1593BE01">
      <w:pPr>
        <w:pStyle w:val="Paragrafoelenco"/>
        <w:numPr>
          <w:ilvl w:val="0"/>
          <w:numId w:val="1"/>
        </w:numPr>
        <w:jc w:val="both"/>
      </w:pPr>
      <w:r>
        <w:t>rock fragments</w:t>
      </w:r>
      <w:r w:rsidR="00D80E53">
        <w:t xml:space="preserve"> (vol/vol),</w:t>
      </w:r>
    </w:p>
    <w:p w14:paraId="5FBF8611" w14:textId="052A1BC1" w:rsidR="00055EB5" w:rsidRPr="00623E6D" w:rsidRDefault="6A0225DB" w:rsidP="1593BE01">
      <w:pPr>
        <w:pStyle w:val="Paragrafoelenco"/>
        <w:numPr>
          <w:ilvl w:val="0"/>
          <w:numId w:val="1"/>
        </w:numPr>
        <w:jc w:val="both"/>
      </w:pPr>
      <w:r w:rsidRPr="1593BE01">
        <w:t>pH</w:t>
      </w:r>
      <w:r w:rsidR="00933993">
        <w:t xml:space="preserve"> in water</w:t>
      </w:r>
      <w:r w:rsidRPr="1593BE01">
        <w:t>,</w:t>
      </w:r>
    </w:p>
    <w:p w14:paraId="29B2F8C0" w14:textId="76F654B4" w:rsidR="00055EB5" w:rsidRPr="00623E6D" w:rsidRDefault="6A0225DB" w:rsidP="00921A59">
      <w:pPr>
        <w:pStyle w:val="Paragrafoelenco"/>
        <w:numPr>
          <w:ilvl w:val="0"/>
          <w:numId w:val="1"/>
        </w:numPr>
        <w:jc w:val="both"/>
      </w:pPr>
      <w:r w:rsidRPr="1593BE01">
        <w:t>bulk density</w:t>
      </w:r>
      <w:r w:rsidR="00D80E53">
        <w:t xml:space="preserve"> </w:t>
      </w:r>
      <w:r w:rsidR="0E397330" w:rsidRPr="1593BE01">
        <w:t>(g/cm</w:t>
      </w:r>
      <w:r w:rsidR="0E397330" w:rsidRPr="1593BE01">
        <w:rPr>
          <w:vertAlign w:val="superscript"/>
        </w:rPr>
        <w:t>3</w:t>
      </w:r>
      <w:r w:rsidRPr="1593BE01">
        <w:t>)</w:t>
      </w:r>
      <w:r w:rsidR="4EEA5E17" w:rsidRPr="1593BE01">
        <w:t>.</w:t>
      </w:r>
    </w:p>
    <w:p w14:paraId="3FE2FE69" w14:textId="0246D1B9" w:rsidR="00F44C8E" w:rsidRPr="00623E6D" w:rsidRDefault="00F44C8E" w:rsidP="1593BE01">
      <w:pPr>
        <w:jc w:val="both"/>
      </w:pPr>
      <w:r w:rsidRPr="004B3E6A">
        <w:rPr>
          <w:rFonts w:eastAsia="Times New Roman" w:cstheme="minorHAnsi"/>
          <w:lang w:eastAsia="it-IT"/>
        </w:rPr>
        <w:t>The Random Forest algorithm was used to explore the quantitative relationship between environmental variables and soil properties and to predict the results with multivariate forecasting techniques.</w:t>
      </w:r>
    </w:p>
    <w:p w14:paraId="1B0A9AA3" w14:textId="01509E80" w:rsidR="00055EB5" w:rsidRPr="00623E6D" w:rsidRDefault="4D5D7255" w:rsidP="1593BE01">
      <w:pPr>
        <w:jc w:val="both"/>
      </w:pPr>
      <w:r w:rsidRPr="1593BE01">
        <w:t>All raster data layers were initially re-projected to a common reference system and a spatial resolution (pixel size) of 100 m. The other data layers (</w:t>
      </w:r>
      <w:proofErr w:type="gramStart"/>
      <w:r w:rsidRPr="1593BE01">
        <w:t>i.e.</w:t>
      </w:r>
      <w:proofErr w:type="gramEnd"/>
      <w:r w:rsidRPr="1593BE01">
        <w:t xml:space="preserve"> soil and land cover maps), which were originally in a vector format, were rasterized to the same reference system and spatial resolution.  </w:t>
      </w:r>
    </w:p>
    <w:p w14:paraId="5C3795D4" w14:textId="08D2D71B" w:rsidR="00086C33" w:rsidRDefault="00086C33" w:rsidP="00224D84">
      <w:pPr>
        <w:spacing w:after="0" w:line="240" w:lineRule="auto"/>
        <w:jc w:val="both"/>
        <w:rPr>
          <w:rFonts w:cstheme="minorHAnsi"/>
        </w:rPr>
      </w:pPr>
      <w:r w:rsidRPr="00086C33">
        <w:rPr>
          <w:rFonts w:cstheme="minorHAnsi"/>
        </w:rPr>
        <w:t xml:space="preserve">For each </w:t>
      </w:r>
      <w:r w:rsidR="001F4912">
        <w:rPr>
          <w:rFonts w:cstheme="minorHAnsi"/>
        </w:rPr>
        <w:t>pixel</w:t>
      </w:r>
      <w:r w:rsidRPr="00086C33">
        <w:rPr>
          <w:rFonts w:cstheme="minorHAnsi"/>
        </w:rPr>
        <w:t>, the SOC stock in t ha-1 was therefore obtained as (</w:t>
      </w:r>
      <w:proofErr w:type="spellStart"/>
      <w:r w:rsidRPr="00086C33">
        <w:rPr>
          <w:rFonts w:cstheme="minorHAnsi"/>
        </w:rPr>
        <w:t>Poeplau</w:t>
      </w:r>
      <w:proofErr w:type="spellEnd"/>
      <w:r w:rsidRPr="00086C33">
        <w:rPr>
          <w:rFonts w:cstheme="minorHAnsi"/>
        </w:rPr>
        <w:t xml:space="preserve"> et al., 2017):</w:t>
      </w:r>
    </w:p>
    <w:p w14:paraId="61F5B9AE" w14:textId="77777777" w:rsidR="00224D84" w:rsidRPr="00086C33" w:rsidRDefault="00224D84" w:rsidP="00224D84">
      <w:pPr>
        <w:spacing w:after="0" w:line="240" w:lineRule="auto"/>
        <w:jc w:val="both"/>
        <w:rPr>
          <w:rFonts w:cstheme="minorHAnsi"/>
        </w:rPr>
      </w:pPr>
    </w:p>
    <w:p w14:paraId="5B7BC82C" w14:textId="77777777" w:rsidR="00086C33" w:rsidRPr="00086C33" w:rsidRDefault="00086C33" w:rsidP="00224D84">
      <w:pPr>
        <w:spacing w:after="0" w:line="240" w:lineRule="auto"/>
        <w:jc w:val="center"/>
        <w:rPr>
          <w:rFonts w:cstheme="minorHAnsi"/>
        </w:rPr>
      </w:pPr>
      <w:r w:rsidRPr="00086C33">
        <w:rPr>
          <w:rFonts w:cstheme="minorHAnsi"/>
        </w:rPr>
        <w:t xml:space="preserve">SOC = SOC% · BD · (1 – </w:t>
      </w:r>
      <w:proofErr w:type="spellStart"/>
      <w:r w:rsidRPr="00086C33">
        <w:rPr>
          <w:rFonts w:cstheme="minorHAnsi"/>
        </w:rPr>
        <w:t>RFvol</w:t>
      </w:r>
      <w:proofErr w:type="spellEnd"/>
      <w:r w:rsidRPr="00086C33">
        <w:rPr>
          <w:rFonts w:cstheme="minorHAnsi"/>
        </w:rPr>
        <w:t>) · LT</w:t>
      </w:r>
      <w:r w:rsidRPr="00086C33">
        <w:rPr>
          <w:rFonts w:cstheme="minorHAnsi"/>
        </w:rPr>
        <w:tab/>
      </w:r>
      <w:r w:rsidRPr="00086C33">
        <w:rPr>
          <w:rFonts w:cstheme="minorHAnsi"/>
        </w:rPr>
        <w:tab/>
        <w:t>(1)</w:t>
      </w:r>
    </w:p>
    <w:p w14:paraId="1EB826C9" w14:textId="77777777" w:rsidR="00224D84" w:rsidRDefault="00224D84" w:rsidP="00224D84">
      <w:pPr>
        <w:autoSpaceDE w:val="0"/>
        <w:autoSpaceDN w:val="0"/>
        <w:adjustRightInd w:val="0"/>
        <w:spacing w:after="0" w:line="240" w:lineRule="auto"/>
        <w:rPr>
          <w:rFonts w:cstheme="minorHAnsi"/>
        </w:rPr>
      </w:pPr>
    </w:p>
    <w:p w14:paraId="36BB17E0" w14:textId="2EF4098B" w:rsidR="00086C33" w:rsidRPr="00086C33" w:rsidRDefault="00086C33" w:rsidP="00224D84">
      <w:pPr>
        <w:autoSpaceDE w:val="0"/>
        <w:autoSpaceDN w:val="0"/>
        <w:adjustRightInd w:val="0"/>
        <w:spacing w:after="0" w:line="240" w:lineRule="auto"/>
        <w:rPr>
          <w:rFonts w:cstheme="minorHAnsi"/>
        </w:rPr>
      </w:pPr>
      <w:r w:rsidRPr="00086C33">
        <w:rPr>
          <w:rFonts w:cstheme="minorHAnsi"/>
        </w:rPr>
        <w:lastRenderedPageBreak/>
        <w:t>where SOC% is the SOC mass percentage (</w:t>
      </w:r>
      <w:proofErr w:type="spellStart"/>
      <w:r w:rsidRPr="00086C33">
        <w:rPr>
          <w:rFonts w:cstheme="minorHAnsi"/>
        </w:rPr>
        <w:t>dag</w:t>
      </w:r>
      <w:proofErr w:type="spellEnd"/>
      <w:r w:rsidRPr="00086C33">
        <w:rPr>
          <w:rFonts w:cstheme="minorHAnsi"/>
        </w:rPr>
        <w:t xml:space="preserve"> kg-1), BD is the bulk density of the fine earth (g cm-3), </w:t>
      </w:r>
      <w:proofErr w:type="spellStart"/>
      <w:r w:rsidRPr="00086C33">
        <w:rPr>
          <w:rFonts w:cstheme="minorHAnsi"/>
        </w:rPr>
        <w:t>RFvol</w:t>
      </w:r>
      <w:proofErr w:type="spellEnd"/>
      <w:r w:rsidRPr="00086C33">
        <w:rPr>
          <w:rFonts w:cstheme="minorHAnsi"/>
        </w:rPr>
        <w:t xml:space="preserve"> is the rock fragment volumetric fraction (vol vol-1) and LT is the soil layer thickness (30 cm)</w:t>
      </w:r>
      <w:r w:rsidR="00224D84">
        <w:rPr>
          <w:rFonts w:cstheme="minorHAnsi"/>
        </w:rPr>
        <w:t>.</w:t>
      </w:r>
    </w:p>
    <w:p w14:paraId="7B148423" w14:textId="77777777" w:rsidR="00EB5E13" w:rsidRPr="00086C33" w:rsidRDefault="00EB5E13" w:rsidP="00A24361">
      <w:pPr>
        <w:jc w:val="both"/>
        <w:rPr>
          <w:rFonts w:cstheme="minorHAnsi"/>
        </w:rPr>
      </w:pPr>
    </w:p>
    <w:p w14:paraId="7DA49186" w14:textId="1FD12C29" w:rsidR="00293211" w:rsidRPr="00623E6D" w:rsidRDefault="006B2970" w:rsidP="00A24361">
      <w:pPr>
        <w:jc w:val="both"/>
        <w:rPr>
          <w:rFonts w:cstheme="minorHAnsi"/>
          <w:b/>
          <w:bCs/>
        </w:rPr>
      </w:pPr>
      <w:r>
        <w:rPr>
          <w:rFonts w:cstheme="minorHAnsi"/>
          <w:b/>
          <w:bCs/>
        </w:rPr>
        <w:t>References</w:t>
      </w:r>
    </w:p>
    <w:p w14:paraId="6D114259" w14:textId="42BA6A58" w:rsidR="00293211" w:rsidRPr="00623E6D" w:rsidRDefault="00293211" w:rsidP="00A24361">
      <w:pPr>
        <w:jc w:val="both"/>
        <w:rPr>
          <w:rFonts w:cstheme="minorHAnsi"/>
        </w:rPr>
      </w:pPr>
      <w:proofErr w:type="spellStart"/>
      <w:r w:rsidRPr="00623E6D">
        <w:rPr>
          <w:rFonts w:cstheme="minorHAnsi"/>
        </w:rPr>
        <w:t>Yigini</w:t>
      </w:r>
      <w:proofErr w:type="spellEnd"/>
      <w:r w:rsidRPr="00623E6D">
        <w:rPr>
          <w:rFonts w:cstheme="minorHAnsi"/>
        </w:rPr>
        <w:t xml:space="preserve">, Y., Olmedo, G.F., Reiter, S., </w:t>
      </w:r>
      <w:proofErr w:type="spellStart"/>
      <w:r w:rsidRPr="00623E6D">
        <w:rPr>
          <w:rFonts w:cstheme="minorHAnsi"/>
        </w:rPr>
        <w:t>Baritz</w:t>
      </w:r>
      <w:proofErr w:type="spellEnd"/>
      <w:r w:rsidRPr="00623E6D">
        <w:rPr>
          <w:rFonts w:cstheme="minorHAnsi"/>
        </w:rPr>
        <w:t xml:space="preserve">, R., </w:t>
      </w:r>
      <w:proofErr w:type="spellStart"/>
      <w:r w:rsidRPr="00623E6D">
        <w:rPr>
          <w:rFonts w:cstheme="minorHAnsi"/>
        </w:rPr>
        <w:t>Viatkin</w:t>
      </w:r>
      <w:proofErr w:type="spellEnd"/>
      <w:r w:rsidRPr="00623E6D">
        <w:rPr>
          <w:rFonts w:cstheme="minorHAnsi"/>
        </w:rPr>
        <w:t xml:space="preserve">, K. </w:t>
      </w:r>
      <w:r w:rsidR="00A82BAE" w:rsidRPr="00623E6D">
        <w:rPr>
          <w:rFonts w:cstheme="minorHAnsi"/>
        </w:rPr>
        <w:t>A</w:t>
      </w:r>
      <w:r w:rsidRPr="00623E6D">
        <w:rPr>
          <w:rFonts w:cstheme="minorHAnsi"/>
        </w:rPr>
        <w:t>nd</w:t>
      </w:r>
      <w:r w:rsidR="00A82BAE" w:rsidRPr="00623E6D">
        <w:rPr>
          <w:rFonts w:cstheme="minorHAnsi"/>
        </w:rPr>
        <w:t xml:space="preserve"> </w:t>
      </w:r>
      <w:r w:rsidRPr="00623E6D">
        <w:rPr>
          <w:rFonts w:cstheme="minorHAnsi"/>
        </w:rPr>
        <w:t>Vargas, R. (eds). 2018. Soil Organic Carbon Mapping Cookbook</w:t>
      </w:r>
      <w:r w:rsidR="00A82BAE" w:rsidRPr="00623E6D">
        <w:rPr>
          <w:rFonts w:cstheme="minorHAnsi"/>
        </w:rPr>
        <w:t xml:space="preserve"> </w:t>
      </w:r>
      <w:r w:rsidRPr="00623E6D">
        <w:rPr>
          <w:rFonts w:cstheme="minorHAnsi"/>
        </w:rPr>
        <w:t>2nd edition. Rome, FAO. 220 pp.</w:t>
      </w:r>
    </w:p>
    <w:p w14:paraId="0816A66C" w14:textId="115E1C45" w:rsidR="00087BFA" w:rsidRPr="00C667DC" w:rsidRDefault="715172C8" w:rsidP="1593BE01">
      <w:pPr>
        <w:jc w:val="both"/>
        <w:rPr>
          <w:lang w:val="it-IT"/>
        </w:rPr>
      </w:pPr>
      <w:proofErr w:type="spellStart"/>
      <w:r w:rsidRPr="1593BE01">
        <w:t>MiPAAF</w:t>
      </w:r>
      <w:proofErr w:type="spellEnd"/>
      <w:r w:rsidRPr="1593BE01">
        <w:t xml:space="preserve"> (1999). Official methods of soil chemical analysis. </w:t>
      </w:r>
      <w:r w:rsidRPr="00C667DC">
        <w:rPr>
          <w:lang w:val="it-IT"/>
        </w:rPr>
        <w:t xml:space="preserve">Gazzetta Ufficiale Supplemento Ordinario 248, Istituto Poligrafico e Zecca dello Stato, Rome, </w:t>
      </w:r>
      <w:proofErr w:type="spellStart"/>
      <w:r w:rsidRPr="00C667DC">
        <w:rPr>
          <w:lang w:val="it-IT"/>
        </w:rPr>
        <w:t>Italy</w:t>
      </w:r>
      <w:proofErr w:type="spellEnd"/>
      <w:r w:rsidRPr="00C667DC">
        <w:rPr>
          <w:lang w:val="it-IT"/>
        </w:rPr>
        <w:t>.</w:t>
      </w:r>
    </w:p>
    <w:p w14:paraId="181CE962" w14:textId="77777777" w:rsidR="00D9502D" w:rsidRPr="00380D9E" w:rsidRDefault="00D9502D" w:rsidP="00380D9E">
      <w:pPr>
        <w:jc w:val="both"/>
        <w:rPr>
          <w:rFonts w:cstheme="minorHAnsi"/>
        </w:rPr>
      </w:pPr>
      <w:proofErr w:type="spellStart"/>
      <w:r w:rsidRPr="00380D9E">
        <w:rPr>
          <w:rFonts w:cstheme="minorHAnsi"/>
        </w:rPr>
        <w:t>Poeplau</w:t>
      </w:r>
      <w:proofErr w:type="spellEnd"/>
      <w:r w:rsidRPr="00380D9E">
        <w:rPr>
          <w:rFonts w:cstheme="minorHAnsi"/>
        </w:rPr>
        <w:t xml:space="preserve"> C., Vos C., Don A. (2017). Soil organic stocks are systematically overestimated by misuse of the parameters bulk density and rock fragment content. Soil, 3, 61-66.</w:t>
      </w:r>
    </w:p>
    <w:p w14:paraId="56A14D00" w14:textId="77777777" w:rsidR="00CD2BDC" w:rsidRPr="00380D9E" w:rsidRDefault="00CD2BDC" w:rsidP="00380D9E">
      <w:pPr>
        <w:jc w:val="both"/>
        <w:rPr>
          <w:rFonts w:cstheme="minorHAnsi"/>
        </w:rPr>
      </w:pPr>
      <w:r w:rsidRPr="00380D9E">
        <w:rPr>
          <w:rFonts w:cstheme="minorHAnsi"/>
        </w:rPr>
        <w:t>Soil Survey Staff (1993). Soil Survey Manual, USDA-SCS, Handbook, vol. 18. U.S. Govt. Print. Off., Washington, DC</w:t>
      </w:r>
    </w:p>
    <w:p w14:paraId="7E409CDF" w14:textId="77777777" w:rsidR="005A1826" w:rsidRPr="00623E6D" w:rsidRDefault="005A1826" w:rsidP="00A24361">
      <w:pPr>
        <w:jc w:val="both"/>
        <w:rPr>
          <w:rFonts w:cstheme="minorHAnsi"/>
        </w:rPr>
      </w:pPr>
    </w:p>
    <w:sectPr w:rsidR="005A1826" w:rsidRPr="00623E6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9339"/>
    <w:multiLevelType w:val="hybridMultilevel"/>
    <w:tmpl w:val="2EBC6044"/>
    <w:lvl w:ilvl="0" w:tplc="71880BC0">
      <w:start w:val="1"/>
      <w:numFmt w:val="bullet"/>
      <w:lvlText w:val=""/>
      <w:lvlJc w:val="left"/>
      <w:pPr>
        <w:ind w:left="720" w:hanging="360"/>
      </w:pPr>
      <w:rPr>
        <w:rFonts w:ascii="Symbol" w:hAnsi="Symbol" w:hint="default"/>
      </w:rPr>
    </w:lvl>
    <w:lvl w:ilvl="1" w:tplc="0060B2B6">
      <w:start w:val="1"/>
      <w:numFmt w:val="bullet"/>
      <w:lvlText w:val="o"/>
      <w:lvlJc w:val="left"/>
      <w:pPr>
        <w:ind w:left="1440" w:hanging="360"/>
      </w:pPr>
      <w:rPr>
        <w:rFonts w:ascii="Courier New" w:hAnsi="Courier New" w:hint="default"/>
      </w:rPr>
    </w:lvl>
    <w:lvl w:ilvl="2" w:tplc="60283B72">
      <w:start w:val="1"/>
      <w:numFmt w:val="bullet"/>
      <w:lvlText w:val=""/>
      <w:lvlJc w:val="left"/>
      <w:pPr>
        <w:ind w:left="2160" w:hanging="360"/>
      </w:pPr>
      <w:rPr>
        <w:rFonts w:ascii="Wingdings" w:hAnsi="Wingdings" w:hint="default"/>
      </w:rPr>
    </w:lvl>
    <w:lvl w:ilvl="3" w:tplc="E5D48D72">
      <w:start w:val="1"/>
      <w:numFmt w:val="bullet"/>
      <w:lvlText w:val=""/>
      <w:lvlJc w:val="left"/>
      <w:pPr>
        <w:ind w:left="2880" w:hanging="360"/>
      </w:pPr>
      <w:rPr>
        <w:rFonts w:ascii="Symbol" w:hAnsi="Symbol" w:hint="default"/>
      </w:rPr>
    </w:lvl>
    <w:lvl w:ilvl="4" w:tplc="D1A2E128">
      <w:start w:val="1"/>
      <w:numFmt w:val="bullet"/>
      <w:lvlText w:val="o"/>
      <w:lvlJc w:val="left"/>
      <w:pPr>
        <w:ind w:left="3600" w:hanging="360"/>
      </w:pPr>
      <w:rPr>
        <w:rFonts w:ascii="Courier New" w:hAnsi="Courier New" w:hint="default"/>
      </w:rPr>
    </w:lvl>
    <w:lvl w:ilvl="5" w:tplc="6ECACC74">
      <w:start w:val="1"/>
      <w:numFmt w:val="bullet"/>
      <w:lvlText w:val=""/>
      <w:lvlJc w:val="left"/>
      <w:pPr>
        <w:ind w:left="4320" w:hanging="360"/>
      </w:pPr>
      <w:rPr>
        <w:rFonts w:ascii="Wingdings" w:hAnsi="Wingdings" w:hint="default"/>
      </w:rPr>
    </w:lvl>
    <w:lvl w:ilvl="6" w:tplc="F71CB2A8">
      <w:start w:val="1"/>
      <w:numFmt w:val="bullet"/>
      <w:lvlText w:val=""/>
      <w:lvlJc w:val="left"/>
      <w:pPr>
        <w:ind w:left="5040" w:hanging="360"/>
      </w:pPr>
      <w:rPr>
        <w:rFonts w:ascii="Symbol" w:hAnsi="Symbol" w:hint="default"/>
      </w:rPr>
    </w:lvl>
    <w:lvl w:ilvl="7" w:tplc="7DC8DBCC">
      <w:start w:val="1"/>
      <w:numFmt w:val="bullet"/>
      <w:lvlText w:val="o"/>
      <w:lvlJc w:val="left"/>
      <w:pPr>
        <w:ind w:left="5760" w:hanging="360"/>
      </w:pPr>
      <w:rPr>
        <w:rFonts w:ascii="Courier New" w:hAnsi="Courier New" w:hint="default"/>
      </w:rPr>
    </w:lvl>
    <w:lvl w:ilvl="8" w:tplc="C6E277C4">
      <w:start w:val="1"/>
      <w:numFmt w:val="bullet"/>
      <w:lvlText w:val=""/>
      <w:lvlJc w:val="left"/>
      <w:pPr>
        <w:ind w:left="6480" w:hanging="360"/>
      </w:pPr>
      <w:rPr>
        <w:rFonts w:ascii="Wingdings" w:hAnsi="Wingdings" w:hint="default"/>
      </w:rPr>
    </w:lvl>
  </w:abstractNum>
  <w:abstractNum w:abstractNumId="1" w15:restartNumberingAfterBreak="0">
    <w:nsid w:val="1DDF3506"/>
    <w:multiLevelType w:val="multilevel"/>
    <w:tmpl w:val="E78A1892"/>
    <w:lvl w:ilvl="0">
      <w:start w:val="9"/>
      <w:numFmt w:val="decimal"/>
      <w:pStyle w:val="Titolo1"/>
      <w:lvlText w:val="%1"/>
      <w:lvlJc w:val="left"/>
      <w:pPr>
        <w:ind w:left="432" w:hanging="432"/>
      </w:pPr>
      <w:rPr>
        <w:rFonts w:hint="default"/>
      </w:rPr>
    </w:lvl>
    <w:lvl w:ilvl="1">
      <w:start w:val="3"/>
      <w:numFmt w:val="decimal"/>
      <w:pStyle w:val="Titolo2"/>
      <w:lvlText w:val="%1.%2"/>
      <w:lvlJc w:val="left"/>
      <w:pPr>
        <w:ind w:left="576" w:hanging="576"/>
      </w:pPr>
      <w:rPr>
        <w:rFonts w:hint="default"/>
      </w:rPr>
    </w:lvl>
    <w:lvl w:ilvl="2">
      <w:start w:val="1"/>
      <w:numFmt w:val="decimal"/>
      <w:pStyle w:val="Titolo3"/>
      <w:lvlText w:val="%1.%2.%3"/>
      <w:lvlJc w:val="left"/>
      <w:pPr>
        <w:ind w:left="862"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7A"/>
    <w:rsid w:val="00001AF7"/>
    <w:rsid w:val="00021E58"/>
    <w:rsid w:val="000248E3"/>
    <w:rsid w:val="00036442"/>
    <w:rsid w:val="00055EB5"/>
    <w:rsid w:val="00086C33"/>
    <w:rsid w:val="00087BFA"/>
    <w:rsid w:val="00090735"/>
    <w:rsid w:val="00097613"/>
    <w:rsid w:val="000F5531"/>
    <w:rsid w:val="00117BA5"/>
    <w:rsid w:val="00132C3E"/>
    <w:rsid w:val="00155394"/>
    <w:rsid w:val="00182782"/>
    <w:rsid w:val="001B51B0"/>
    <w:rsid w:val="001C4705"/>
    <w:rsid w:val="001C738F"/>
    <w:rsid w:val="001D511C"/>
    <w:rsid w:val="001E55F5"/>
    <w:rsid w:val="001F4912"/>
    <w:rsid w:val="00224D84"/>
    <w:rsid w:val="00276D9D"/>
    <w:rsid w:val="0028474F"/>
    <w:rsid w:val="00293211"/>
    <w:rsid w:val="00296079"/>
    <w:rsid w:val="002C59FE"/>
    <w:rsid w:val="002D1C29"/>
    <w:rsid w:val="002E57A0"/>
    <w:rsid w:val="0030352B"/>
    <w:rsid w:val="00310FCB"/>
    <w:rsid w:val="00315FBB"/>
    <w:rsid w:val="00335D43"/>
    <w:rsid w:val="00380D9E"/>
    <w:rsid w:val="00382793"/>
    <w:rsid w:val="00384405"/>
    <w:rsid w:val="003A20CE"/>
    <w:rsid w:val="003B065D"/>
    <w:rsid w:val="003B6F05"/>
    <w:rsid w:val="003D4595"/>
    <w:rsid w:val="003D530D"/>
    <w:rsid w:val="003F500F"/>
    <w:rsid w:val="004050A3"/>
    <w:rsid w:val="004318B6"/>
    <w:rsid w:val="00491392"/>
    <w:rsid w:val="004A5AE5"/>
    <w:rsid w:val="004B0886"/>
    <w:rsid w:val="004B1C5C"/>
    <w:rsid w:val="00503D35"/>
    <w:rsid w:val="00511BBE"/>
    <w:rsid w:val="005250F0"/>
    <w:rsid w:val="00536970"/>
    <w:rsid w:val="0057509D"/>
    <w:rsid w:val="005A1826"/>
    <w:rsid w:val="005A4373"/>
    <w:rsid w:val="005B51A8"/>
    <w:rsid w:val="005C01A5"/>
    <w:rsid w:val="005F16AF"/>
    <w:rsid w:val="005F32E4"/>
    <w:rsid w:val="00616A27"/>
    <w:rsid w:val="00623E6D"/>
    <w:rsid w:val="00642413"/>
    <w:rsid w:val="006807E1"/>
    <w:rsid w:val="00686659"/>
    <w:rsid w:val="00694167"/>
    <w:rsid w:val="006B2970"/>
    <w:rsid w:val="006B551E"/>
    <w:rsid w:val="006B643C"/>
    <w:rsid w:val="006B6F86"/>
    <w:rsid w:val="006D027F"/>
    <w:rsid w:val="006D4F17"/>
    <w:rsid w:val="00700BAF"/>
    <w:rsid w:val="00736507"/>
    <w:rsid w:val="007A1ED5"/>
    <w:rsid w:val="007A3A2D"/>
    <w:rsid w:val="007C195B"/>
    <w:rsid w:val="007E718F"/>
    <w:rsid w:val="007F4F41"/>
    <w:rsid w:val="007F5512"/>
    <w:rsid w:val="007F5CC9"/>
    <w:rsid w:val="007F69F3"/>
    <w:rsid w:val="0080558A"/>
    <w:rsid w:val="00860CBC"/>
    <w:rsid w:val="008739EE"/>
    <w:rsid w:val="00882C65"/>
    <w:rsid w:val="00895686"/>
    <w:rsid w:val="00895A13"/>
    <w:rsid w:val="008A2CED"/>
    <w:rsid w:val="008A7780"/>
    <w:rsid w:val="008B28BF"/>
    <w:rsid w:val="008D525D"/>
    <w:rsid w:val="008E7326"/>
    <w:rsid w:val="0091561C"/>
    <w:rsid w:val="00921A59"/>
    <w:rsid w:val="00923049"/>
    <w:rsid w:val="0093060E"/>
    <w:rsid w:val="00933993"/>
    <w:rsid w:val="00940C5A"/>
    <w:rsid w:val="00945682"/>
    <w:rsid w:val="00966BC9"/>
    <w:rsid w:val="0097467A"/>
    <w:rsid w:val="009A167B"/>
    <w:rsid w:val="009A4789"/>
    <w:rsid w:val="009A731A"/>
    <w:rsid w:val="009B116A"/>
    <w:rsid w:val="009B1572"/>
    <w:rsid w:val="009B2A3A"/>
    <w:rsid w:val="009D1C64"/>
    <w:rsid w:val="009F12D1"/>
    <w:rsid w:val="00A03912"/>
    <w:rsid w:val="00A14714"/>
    <w:rsid w:val="00A17F58"/>
    <w:rsid w:val="00A24361"/>
    <w:rsid w:val="00A25DCD"/>
    <w:rsid w:val="00A65993"/>
    <w:rsid w:val="00A82BAE"/>
    <w:rsid w:val="00AB0105"/>
    <w:rsid w:val="00AB630A"/>
    <w:rsid w:val="00AD36D3"/>
    <w:rsid w:val="00AD5BFE"/>
    <w:rsid w:val="00AE759B"/>
    <w:rsid w:val="00B007B9"/>
    <w:rsid w:val="00B25204"/>
    <w:rsid w:val="00B772C1"/>
    <w:rsid w:val="00B81ED3"/>
    <w:rsid w:val="00B90350"/>
    <w:rsid w:val="00B92844"/>
    <w:rsid w:val="00BF2827"/>
    <w:rsid w:val="00C05039"/>
    <w:rsid w:val="00C128E5"/>
    <w:rsid w:val="00C15027"/>
    <w:rsid w:val="00C667DC"/>
    <w:rsid w:val="00C7547D"/>
    <w:rsid w:val="00C81BE5"/>
    <w:rsid w:val="00C82025"/>
    <w:rsid w:val="00CA4A2C"/>
    <w:rsid w:val="00CB1B22"/>
    <w:rsid w:val="00CC4D95"/>
    <w:rsid w:val="00CD2BDC"/>
    <w:rsid w:val="00CE4900"/>
    <w:rsid w:val="00CF58A3"/>
    <w:rsid w:val="00CF6B2E"/>
    <w:rsid w:val="00D05C87"/>
    <w:rsid w:val="00D12181"/>
    <w:rsid w:val="00D14912"/>
    <w:rsid w:val="00D2106F"/>
    <w:rsid w:val="00D55B31"/>
    <w:rsid w:val="00D80E53"/>
    <w:rsid w:val="00D9502D"/>
    <w:rsid w:val="00E078FD"/>
    <w:rsid w:val="00E3155A"/>
    <w:rsid w:val="00E31B6E"/>
    <w:rsid w:val="00E67C8B"/>
    <w:rsid w:val="00E8658A"/>
    <w:rsid w:val="00EA00D4"/>
    <w:rsid w:val="00EB5E13"/>
    <w:rsid w:val="00EB7610"/>
    <w:rsid w:val="00EF2518"/>
    <w:rsid w:val="00EF4969"/>
    <w:rsid w:val="00F02A39"/>
    <w:rsid w:val="00F13446"/>
    <w:rsid w:val="00F44C8E"/>
    <w:rsid w:val="00F93CCA"/>
    <w:rsid w:val="00FA2E47"/>
    <w:rsid w:val="00FB6F83"/>
    <w:rsid w:val="00FE5512"/>
    <w:rsid w:val="00FE710F"/>
    <w:rsid w:val="010BBA8E"/>
    <w:rsid w:val="011E57BE"/>
    <w:rsid w:val="018FD7E3"/>
    <w:rsid w:val="01E400D6"/>
    <w:rsid w:val="027BE04B"/>
    <w:rsid w:val="0355F782"/>
    <w:rsid w:val="038DA28E"/>
    <w:rsid w:val="03C4600D"/>
    <w:rsid w:val="03E5F07E"/>
    <w:rsid w:val="048034E2"/>
    <w:rsid w:val="04B54B63"/>
    <w:rsid w:val="04EC5999"/>
    <w:rsid w:val="0608F5A0"/>
    <w:rsid w:val="067F7DBE"/>
    <w:rsid w:val="069529AB"/>
    <w:rsid w:val="072F8D8B"/>
    <w:rsid w:val="0B2004A3"/>
    <w:rsid w:val="0B6EBE63"/>
    <w:rsid w:val="0C6706F8"/>
    <w:rsid w:val="0CA49997"/>
    <w:rsid w:val="0D9C3F0B"/>
    <w:rsid w:val="0E2D7C73"/>
    <w:rsid w:val="0E397330"/>
    <w:rsid w:val="10846781"/>
    <w:rsid w:val="11BE7504"/>
    <w:rsid w:val="13E66C57"/>
    <w:rsid w:val="14DDFC44"/>
    <w:rsid w:val="151C8D76"/>
    <w:rsid w:val="159221BD"/>
    <w:rsid w:val="1593BE01"/>
    <w:rsid w:val="160D7E62"/>
    <w:rsid w:val="16806476"/>
    <w:rsid w:val="16EF34EE"/>
    <w:rsid w:val="1820EE4A"/>
    <w:rsid w:val="18854707"/>
    <w:rsid w:val="18857A72"/>
    <w:rsid w:val="195B70B5"/>
    <w:rsid w:val="19A0F606"/>
    <w:rsid w:val="1A0A1230"/>
    <w:rsid w:val="1A9E6F23"/>
    <w:rsid w:val="1B0C1572"/>
    <w:rsid w:val="1C1D6B3A"/>
    <w:rsid w:val="1C44444D"/>
    <w:rsid w:val="1C551AF4"/>
    <w:rsid w:val="1C66FDE9"/>
    <w:rsid w:val="1D71E5E9"/>
    <w:rsid w:val="1D89164B"/>
    <w:rsid w:val="1E0D6163"/>
    <w:rsid w:val="1F0A9214"/>
    <w:rsid w:val="215F933E"/>
    <w:rsid w:val="21E3AD76"/>
    <w:rsid w:val="22168783"/>
    <w:rsid w:val="237E81CF"/>
    <w:rsid w:val="2429ECF6"/>
    <w:rsid w:val="246D3C3B"/>
    <w:rsid w:val="27063BEB"/>
    <w:rsid w:val="2828940E"/>
    <w:rsid w:val="294F52A1"/>
    <w:rsid w:val="29C665C1"/>
    <w:rsid w:val="2B6E025A"/>
    <w:rsid w:val="2BCD1269"/>
    <w:rsid w:val="2C5114BA"/>
    <w:rsid w:val="2D063A17"/>
    <w:rsid w:val="2F187263"/>
    <w:rsid w:val="305FB1F2"/>
    <w:rsid w:val="3081BA24"/>
    <w:rsid w:val="30924B82"/>
    <w:rsid w:val="309CAAAF"/>
    <w:rsid w:val="30C4B233"/>
    <w:rsid w:val="31B28688"/>
    <w:rsid w:val="31C78470"/>
    <w:rsid w:val="31DBA21B"/>
    <w:rsid w:val="322B97F4"/>
    <w:rsid w:val="326CFB0E"/>
    <w:rsid w:val="32C450FA"/>
    <w:rsid w:val="3339051D"/>
    <w:rsid w:val="337C39CE"/>
    <w:rsid w:val="337E42B3"/>
    <w:rsid w:val="35DA9643"/>
    <w:rsid w:val="366C8F37"/>
    <w:rsid w:val="36ED7D5F"/>
    <w:rsid w:val="38919C48"/>
    <w:rsid w:val="38F7EAE6"/>
    <w:rsid w:val="3939FC6A"/>
    <w:rsid w:val="3987C40B"/>
    <w:rsid w:val="39B12A9C"/>
    <w:rsid w:val="3A30B740"/>
    <w:rsid w:val="3AF32F2B"/>
    <w:rsid w:val="3D6F64D3"/>
    <w:rsid w:val="3E51B928"/>
    <w:rsid w:val="3F6C5C70"/>
    <w:rsid w:val="40884270"/>
    <w:rsid w:val="408C7AB8"/>
    <w:rsid w:val="413D601E"/>
    <w:rsid w:val="4262A106"/>
    <w:rsid w:val="439AA2D4"/>
    <w:rsid w:val="43D7662A"/>
    <w:rsid w:val="44482885"/>
    <w:rsid w:val="44D40C5E"/>
    <w:rsid w:val="459F21ED"/>
    <w:rsid w:val="45C65289"/>
    <w:rsid w:val="479550AE"/>
    <w:rsid w:val="4A17BAC0"/>
    <w:rsid w:val="4B11D1FF"/>
    <w:rsid w:val="4C9DDC3D"/>
    <w:rsid w:val="4D1E32E1"/>
    <w:rsid w:val="4D5D7255"/>
    <w:rsid w:val="4D7B2433"/>
    <w:rsid w:val="4E50F612"/>
    <w:rsid w:val="4EEA5E17"/>
    <w:rsid w:val="4F49F7F0"/>
    <w:rsid w:val="515357AA"/>
    <w:rsid w:val="55234C24"/>
    <w:rsid w:val="568A5DA1"/>
    <w:rsid w:val="56A29E79"/>
    <w:rsid w:val="5796E70C"/>
    <w:rsid w:val="5835CAB2"/>
    <w:rsid w:val="58686BC0"/>
    <w:rsid w:val="587AB4C7"/>
    <w:rsid w:val="59736773"/>
    <w:rsid w:val="5A616A2F"/>
    <w:rsid w:val="5B32E2A1"/>
    <w:rsid w:val="5BCBE2F9"/>
    <w:rsid w:val="5D5C0684"/>
    <w:rsid w:val="5DF74749"/>
    <w:rsid w:val="60426780"/>
    <w:rsid w:val="6434B6E2"/>
    <w:rsid w:val="651969F7"/>
    <w:rsid w:val="653F8A0C"/>
    <w:rsid w:val="6576B2E5"/>
    <w:rsid w:val="6638E651"/>
    <w:rsid w:val="6663DFCF"/>
    <w:rsid w:val="668C8B54"/>
    <w:rsid w:val="6740989B"/>
    <w:rsid w:val="67D0B06C"/>
    <w:rsid w:val="68FD6062"/>
    <w:rsid w:val="69760DD0"/>
    <w:rsid w:val="6A0225DB"/>
    <w:rsid w:val="6A3B461C"/>
    <w:rsid w:val="6BC13589"/>
    <w:rsid w:val="6C4BBCF8"/>
    <w:rsid w:val="6C5FA4A6"/>
    <w:rsid w:val="6C9026B1"/>
    <w:rsid w:val="6D20DF06"/>
    <w:rsid w:val="6E63A348"/>
    <w:rsid w:val="6EDBA6CA"/>
    <w:rsid w:val="6F0ABC56"/>
    <w:rsid w:val="6F382635"/>
    <w:rsid w:val="6F3FD252"/>
    <w:rsid w:val="6F865587"/>
    <w:rsid w:val="7012AC98"/>
    <w:rsid w:val="7027C9B3"/>
    <w:rsid w:val="71087784"/>
    <w:rsid w:val="715172C8"/>
    <w:rsid w:val="7171CD37"/>
    <w:rsid w:val="71EAA4A0"/>
    <w:rsid w:val="71F8D8E1"/>
    <w:rsid w:val="73C4171C"/>
    <w:rsid w:val="74BB1920"/>
    <w:rsid w:val="774A18AD"/>
    <w:rsid w:val="77ADBD9F"/>
    <w:rsid w:val="7B9F0905"/>
    <w:rsid w:val="7C8E1910"/>
    <w:rsid w:val="7CBCEF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028E"/>
  <w15:chartTrackingRefBased/>
  <w15:docId w15:val="{0F295F14-CF4A-4197-BE5E-3CFF7CE1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en-GB"/>
    </w:rPr>
  </w:style>
  <w:style w:type="paragraph" w:styleId="Titolo1">
    <w:name w:val="heading 1"/>
    <w:basedOn w:val="Normale"/>
    <w:next w:val="Normale"/>
    <w:link w:val="Titolo1Carattere"/>
    <w:uiPriority w:val="9"/>
    <w:qFormat/>
    <w:rsid w:val="00FA2E47"/>
    <w:pPr>
      <w:keepNext/>
      <w:keepLines/>
      <w:numPr>
        <w:numId w:val="2"/>
      </w:numPr>
      <w:spacing w:before="240" w:after="0"/>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A2E47"/>
    <w:pPr>
      <w:keepNext/>
      <w:keepLines/>
      <w:numPr>
        <w:ilvl w:val="1"/>
        <w:numId w:val="2"/>
      </w:numPr>
      <w:spacing w:before="40" w:after="0"/>
      <w:outlineLvl w:val="1"/>
    </w:pPr>
    <w:rPr>
      <w:rFonts w:eastAsiaTheme="majorEastAsia" w:cstheme="majorBidi"/>
      <w:sz w:val="24"/>
      <w:szCs w:val="26"/>
    </w:rPr>
  </w:style>
  <w:style w:type="paragraph" w:styleId="Titolo3">
    <w:name w:val="heading 3"/>
    <w:basedOn w:val="Normale"/>
    <w:next w:val="Normale"/>
    <w:link w:val="Titolo3Carattere"/>
    <w:uiPriority w:val="9"/>
    <w:unhideWhenUsed/>
    <w:qFormat/>
    <w:rsid w:val="00FA2E47"/>
    <w:pPr>
      <w:keepNext/>
      <w:keepLines/>
      <w:numPr>
        <w:ilvl w:val="2"/>
        <w:numId w:val="2"/>
      </w:numPr>
      <w:spacing w:before="40" w:after="0"/>
      <w:ind w:left="72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semiHidden/>
    <w:unhideWhenUsed/>
    <w:qFormat/>
    <w:rsid w:val="00FA2E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A2E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FA2E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FA2E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FA2E4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FA2E4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97467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3D4595"/>
    <w:rPr>
      <w:b/>
      <w:bCs/>
    </w:rPr>
  </w:style>
  <w:style w:type="character" w:styleId="Enfasicorsivo">
    <w:name w:val="Emphasis"/>
    <w:basedOn w:val="Carpredefinitoparagrafo"/>
    <w:uiPriority w:val="20"/>
    <w:qFormat/>
    <w:rsid w:val="003D4595"/>
    <w:rPr>
      <w:i/>
      <w:iCs/>
    </w:rPr>
  </w:style>
  <w:style w:type="character" w:customStyle="1" w:styleId="overflow-hidden">
    <w:name w:val="overflow-hidden"/>
    <w:basedOn w:val="Carpredefinitoparagrafo"/>
    <w:rsid w:val="003D4595"/>
  </w:style>
  <w:style w:type="character" w:styleId="Collegamentoipertestuale">
    <w:name w:val="Hyperlink"/>
    <w:basedOn w:val="Carpredefinitoparagrafo"/>
    <w:uiPriority w:val="99"/>
    <w:unhideWhenUsed/>
    <w:rsid w:val="005F16AF"/>
    <w:rPr>
      <w:color w:val="0000FF"/>
      <w:u w:val="single"/>
    </w:rPr>
  </w:style>
  <w:style w:type="character" w:customStyle="1" w:styleId="Titolo1Carattere">
    <w:name w:val="Titolo 1 Carattere"/>
    <w:basedOn w:val="Carpredefinitoparagrafo"/>
    <w:link w:val="Titolo1"/>
    <w:uiPriority w:val="9"/>
    <w:rsid w:val="00FA2E47"/>
    <w:rPr>
      <w:rFonts w:eastAsiaTheme="majorEastAsia" w:cstheme="majorBidi"/>
      <w:b/>
      <w:sz w:val="24"/>
      <w:szCs w:val="32"/>
      <w:lang w:val="en-GB"/>
    </w:rPr>
  </w:style>
  <w:style w:type="character" w:customStyle="1" w:styleId="Titolo2Carattere">
    <w:name w:val="Titolo 2 Carattere"/>
    <w:basedOn w:val="Carpredefinitoparagrafo"/>
    <w:link w:val="Titolo2"/>
    <w:uiPriority w:val="9"/>
    <w:rsid w:val="00FA2E47"/>
    <w:rPr>
      <w:rFonts w:eastAsiaTheme="majorEastAsia" w:cstheme="majorBidi"/>
      <w:sz w:val="24"/>
      <w:szCs w:val="26"/>
      <w:lang w:val="en-GB"/>
    </w:rPr>
  </w:style>
  <w:style w:type="character" w:customStyle="1" w:styleId="Titolo3Carattere">
    <w:name w:val="Titolo 3 Carattere"/>
    <w:basedOn w:val="Carpredefinitoparagrafo"/>
    <w:link w:val="Titolo3"/>
    <w:uiPriority w:val="9"/>
    <w:rsid w:val="00FA2E47"/>
    <w:rPr>
      <w:rFonts w:asciiTheme="majorHAnsi" w:eastAsiaTheme="majorEastAsia" w:hAnsiTheme="majorHAnsi" w:cstheme="majorBidi"/>
      <w:color w:val="1F3763" w:themeColor="accent1" w:themeShade="7F"/>
      <w:sz w:val="24"/>
      <w:szCs w:val="24"/>
      <w:lang w:val="en-GB"/>
    </w:rPr>
  </w:style>
  <w:style w:type="character" w:customStyle="1" w:styleId="Titolo4Carattere">
    <w:name w:val="Titolo 4 Carattere"/>
    <w:basedOn w:val="Carpredefinitoparagrafo"/>
    <w:link w:val="Titolo4"/>
    <w:uiPriority w:val="9"/>
    <w:semiHidden/>
    <w:rsid w:val="00FA2E47"/>
    <w:rPr>
      <w:rFonts w:asciiTheme="majorHAnsi" w:eastAsiaTheme="majorEastAsia" w:hAnsiTheme="majorHAnsi" w:cstheme="majorBidi"/>
      <w:i/>
      <w:iCs/>
      <w:color w:val="2F5496" w:themeColor="accent1" w:themeShade="BF"/>
      <w:lang w:val="en-GB"/>
    </w:rPr>
  </w:style>
  <w:style w:type="character" w:customStyle="1" w:styleId="Titolo5Carattere">
    <w:name w:val="Titolo 5 Carattere"/>
    <w:basedOn w:val="Carpredefinitoparagrafo"/>
    <w:link w:val="Titolo5"/>
    <w:uiPriority w:val="9"/>
    <w:semiHidden/>
    <w:rsid w:val="00FA2E47"/>
    <w:rPr>
      <w:rFonts w:asciiTheme="majorHAnsi" w:eastAsiaTheme="majorEastAsia" w:hAnsiTheme="majorHAnsi" w:cstheme="majorBidi"/>
      <w:color w:val="2F5496" w:themeColor="accent1" w:themeShade="BF"/>
      <w:lang w:val="en-GB"/>
    </w:rPr>
  </w:style>
  <w:style w:type="character" w:customStyle="1" w:styleId="Titolo6Carattere">
    <w:name w:val="Titolo 6 Carattere"/>
    <w:basedOn w:val="Carpredefinitoparagrafo"/>
    <w:link w:val="Titolo6"/>
    <w:uiPriority w:val="9"/>
    <w:semiHidden/>
    <w:rsid w:val="00FA2E47"/>
    <w:rPr>
      <w:rFonts w:asciiTheme="majorHAnsi" w:eastAsiaTheme="majorEastAsia" w:hAnsiTheme="majorHAnsi" w:cstheme="majorBidi"/>
      <w:color w:val="1F3763" w:themeColor="accent1" w:themeShade="7F"/>
      <w:lang w:val="en-GB"/>
    </w:rPr>
  </w:style>
  <w:style w:type="character" w:customStyle="1" w:styleId="Titolo7Carattere">
    <w:name w:val="Titolo 7 Carattere"/>
    <w:basedOn w:val="Carpredefinitoparagrafo"/>
    <w:link w:val="Titolo7"/>
    <w:uiPriority w:val="9"/>
    <w:semiHidden/>
    <w:rsid w:val="00FA2E47"/>
    <w:rPr>
      <w:rFonts w:asciiTheme="majorHAnsi" w:eastAsiaTheme="majorEastAsia" w:hAnsiTheme="majorHAnsi" w:cstheme="majorBidi"/>
      <w:i/>
      <w:iCs/>
      <w:color w:val="1F3763" w:themeColor="accent1" w:themeShade="7F"/>
      <w:lang w:val="en-GB"/>
    </w:rPr>
  </w:style>
  <w:style w:type="character" w:customStyle="1" w:styleId="Titolo8Carattere">
    <w:name w:val="Titolo 8 Carattere"/>
    <w:basedOn w:val="Carpredefinitoparagrafo"/>
    <w:link w:val="Titolo8"/>
    <w:uiPriority w:val="9"/>
    <w:semiHidden/>
    <w:rsid w:val="00FA2E47"/>
    <w:rPr>
      <w:rFonts w:asciiTheme="majorHAnsi" w:eastAsiaTheme="majorEastAsia" w:hAnsiTheme="majorHAnsi" w:cstheme="majorBidi"/>
      <w:color w:val="272727" w:themeColor="text1" w:themeTint="D8"/>
      <w:sz w:val="21"/>
      <w:szCs w:val="21"/>
      <w:lang w:val="en-GB"/>
    </w:rPr>
  </w:style>
  <w:style w:type="character" w:customStyle="1" w:styleId="Titolo9Carattere">
    <w:name w:val="Titolo 9 Carattere"/>
    <w:basedOn w:val="Carpredefinitoparagrafo"/>
    <w:link w:val="Titolo9"/>
    <w:uiPriority w:val="9"/>
    <w:semiHidden/>
    <w:rsid w:val="00FA2E47"/>
    <w:rPr>
      <w:rFonts w:asciiTheme="majorHAnsi" w:eastAsiaTheme="majorEastAsia" w:hAnsiTheme="majorHAnsi" w:cstheme="majorBidi"/>
      <w:i/>
      <w:iCs/>
      <w:color w:val="272727" w:themeColor="text1" w:themeTint="D8"/>
      <w:sz w:val="21"/>
      <w:szCs w:val="21"/>
      <w:lang w:val="en-GB"/>
    </w:rPr>
  </w:style>
  <w:style w:type="paragraph" w:styleId="Titolo">
    <w:name w:val="Title"/>
    <w:basedOn w:val="Normale"/>
    <w:next w:val="Normale"/>
    <w:link w:val="TitoloCarattere"/>
    <w:uiPriority w:val="10"/>
    <w:qFormat/>
    <w:rsid w:val="00A2436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24361"/>
    <w:rPr>
      <w:rFonts w:asciiTheme="majorHAnsi" w:eastAsiaTheme="majorEastAsia" w:hAnsiTheme="majorHAnsi" w:cstheme="majorBidi"/>
      <w:spacing w:val="-10"/>
      <w:kern w:val="28"/>
      <w:sz w:val="56"/>
      <w:szCs w:val="56"/>
    </w:rPr>
  </w:style>
  <w:style w:type="character" w:styleId="Rimandocommento">
    <w:name w:val="annotation reference"/>
    <w:basedOn w:val="Carpredefinitoparagrafo"/>
    <w:uiPriority w:val="99"/>
    <w:semiHidden/>
    <w:unhideWhenUsed/>
    <w:rsid w:val="00086C33"/>
    <w:rPr>
      <w:sz w:val="16"/>
      <w:szCs w:val="16"/>
    </w:rPr>
  </w:style>
  <w:style w:type="paragraph" w:styleId="Testocommento">
    <w:name w:val="annotation text"/>
    <w:basedOn w:val="Normale"/>
    <w:link w:val="TestocommentoCarattere"/>
    <w:uiPriority w:val="99"/>
    <w:semiHidden/>
    <w:unhideWhenUsed/>
    <w:rsid w:val="00086C33"/>
    <w:pPr>
      <w:spacing w:after="0" w:line="240" w:lineRule="auto"/>
      <w:jc w:val="both"/>
    </w:pPr>
    <w:rPr>
      <w:rFonts w:eastAsia="Times New Roman" w:cs="Times New Roman"/>
      <w:sz w:val="20"/>
      <w:szCs w:val="20"/>
      <w:lang w:val="it-IT" w:eastAsia="it-IT"/>
    </w:rPr>
  </w:style>
  <w:style w:type="character" w:customStyle="1" w:styleId="TestocommentoCarattere">
    <w:name w:val="Testo commento Carattere"/>
    <w:basedOn w:val="Carpredefinitoparagrafo"/>
    <w:link w:val="Testocommento"/>
    <w:uiPriority w:val="99"/>
    <w:semiHidden/>
    <w:rsid w:val="00086C33"/>
    <w:rPr>
      <w:rFonts w:eastAsia="Times New Roman" w:cs="Times New Roman"/>
      <w:sz w:val="20"/>
      <w:szCs w:val="20"/>
      <w:lang w:eastAsia="it-IT"/>
    </w:rPr>
  </w:style>
  <w:style w:type="paragraph" w:styleId="Paragrafoelenco">
    <w:name w:val="List Paragraph"/>
    <w:basedOn w:val="Normale"/>
    <w:uiPriority w:val="34"/>
    <w:qFormat/>
    <w:pPr>
      <w:ind w:left="720"/>
      <w:contextualSpacing/>
    </w:pPr>
  </w:style>
  <w:style w:type="character" w:styleId="Menzionenonrisolta">
    <w:name w:val="Unresolved Mention"/>
    <w:basedOn w:val="Carpredefinitoparagrafo"/>
    <w:uiPriority w:val="99"/>
    <w:semiHidden/>
    <w:unhideWhenUsed/>
    <w:rsid w:val="008D5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734">
      <w:bodyDiv w:val="1"/>
      <w:marLeft w:val="0"/>
      <w:marRight w:val="0"/>
      <w:marTop w:val="0"/>
      <w:marBottom w:val="0"/>
      <w:divBdr>
        <w:top w:val="none" w:sz="0" w:space="0" w:color="auto"/>
        <w:left w:val="none" w:sz="0" w:space="0" w:color="auto"/>
        <w:bottom w:val="none" w:sz="0" w:space="0" w:color="auto"/>
        <w:right w:val="none" w:sz="0" w:space="0" w:color="auto"/>
      </w:divBdr>
    </w:div>
    <w:div w:id="357313897">
      <w:bodyDiv w:val="1"/>
      <w:marLeft w:val="0"/>
      <w:marRight w:val="0"/>
      <w:marTop w:val="0"/>
      <w:marBottom w:val="0"/>
      <w:divBdr>
        <w:top w:val="none" w:sz="0" w:space="0" w:color="auto"/>
        <w:left w:val="none" w:sz="0" w:space="0" w:color="auto"/>
        <w:bottom w:val="none" w:sz="0" w:space="0" w:color="auto"/>
        <w:right w:val="none" w:sz="0" w:space="0" w:color="auto"/>
      </w:divBdr>
      <w:divsChild>
        <w:div w:id="1579944813">
          <w:marLeft w:val="0"/>
          <w:marRight w:val="0"/>
          <w:marTop w:val="0"/>
          <w:marBottom w:val="0"/>
          <w:divBdr>
            <w:top w:val="none" w:sz="0" w:space="0" w:color="auto"/>
            <w:left w:val="none" w:sz="0" w:space="0" w:color="auto"/>
            <w:bottom w:val="none" w:sz="0" w:space="0" w:color="auto"/>
            <w:right w:val="none" w:sz="0" w:space="0" w:color="auto"/>
          </w:divBdr>
          <w:divsChild>
            <w:div w:id="1143616605">
              <w:marLeft w:val="0"/>
              <w:marRight w:val="0"/>
              <w:marTop w:val="0"/>
              <w:marBottom w:val="0"/>
              <w:divBdr>
                <w:top w:val="none" w:sz="0" w:space="0" w:color="auto"/>
                <w:left w:val="none" w:sz="0" w:space="0" w:color="auto"/>
                <w:bottom w:val="none" w:sz="0" w:space="0" w:color="auto"/>
                <w:right w:val="none" w:sz="0" w:space="0" w:color="auto"/>
              </w:divBdr>
              <w:divsChild>
                <w:div w:id="409928486">
                  <w:marLeft w:val="0"/>
                  <w:marRight w:val="0"/>
                  <w:marTop w:val="0"/>
                  <w:marBottom w:val="0"/>
                  <w:divBdr>
                    <w:top w:val="none" w:sz="0" w:space="0" w:color="auto"/>
                    <w:left w:val="none" w:sz="0" w:space="0" w:color="auto"/>
                    <w:bottom w:val="none" w:sz="0" w:space="0" w:color="auto"/>
                    <w:right w:val="none" w:sz="0" w:space="0" w:color="auto"/>
                  </w:divBdr>
                  <w:divsChild>
                    <w:div w:id="96974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394933">
          <w:marLeft w:val="0"/>
          <w:marRight w:val="0"/>
          <w:marTop w:val="0"/>
          <w:marBottom w:val="0"/>
          <w:divBdr>
            <w:top w:val="none" w:sz="0" w:space="0" w:color="auto"/>
            <w:left w:val="none" w:sz="0" w:space="0" w:color="auto"/>
            <w:bottom w:val="none" w:sz="0" w:space="0" w:color="auto"/>
            <w:right w:val="none" w:sz="0" w:space="0" w:color="auto"/>
          </w:divBdr>
          <w:divsChild>
            <w:div w:id="24059248">
              <w:marLeft w:val="0"/>
              <w:marRight w:val="0"/>
              <w:marTop w:val="0"/>
              <w:marBottom w:val="0"/>
              <w:divBdr>
                <w:top w:val="none" w:sz="0" w:space="0" w:color="auto"/>
                <w:left w:val="none" w:sz="0" w:space="0" w:color="auto"/>
                <w:bottom w:val="none" w:sz="0" w:space="0" w:color="auto"/>
                <w:right w:val="none" w:sz="0" w:space="0" w:color="auto"/>
              </w:divBdr>
              <w:divsChild>
                <w:div w:id="281159556">
                  <w:marLeft w:val="0"/>
                  <w:marRight w:val="0"/>
                  <w:marTop w:val="0"/>
                  <w:marBottom w:val="0"/>
                  <w:divBdr>
                    <w:top w:val="none" w:sz="0" w:space="0" w:color="auto"/>
                    <w:left w:val="none" w:sz="0" w:space="0" w:color="auto"/>
                    <w:bottom w:val="none" w:sz="0" w:space="0" w:color="auto"/>
                    <w:right w:val="none" w:sz="0" w:space="0" w:color="auto"/>
                  </w:divBdr>
                  <w:divsChild>
                    <w:div w:id="183560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388390">
      <w:bodyDiv w:val="1"/>
      <w:marLeft w:val="0"/>
      <w:marRight w:val="0"/>
      <w:marTop w:val="0"/>
      <w:marBottom w:val="0"/>
      <w:divBdr>
        <w:top w:val="none" w:sz="0" w:space="0" w:color="auto"/>
        <w:left w:val="none" w:sz="0" w:space="0" w:color="auto"/>
        <w:bottom w:val="none" w:sz="0" w:space="0" w:color="auto"/>
        <w:right w:val="none" w:sz="0" w:space="0" w:color="auto"/>
      </w:divBdr>
      <w:divsChild>
        <w:div w:id="1945305399">
          <w:marLeft w:val="0"/>
          <w:marRight w:val="0"/>
          <w:marTop w:val="0"/>
          <w:marBottom w:val="0"/>
          <w:divBdr>
            <w:top w:val="none" w:sz="0" w:space="0" w:color="auto"/>
            <w:left w:val="none" w:sz="0" w:space="0" w:color="auto"/>
            <w:bottom w:val="none" w:sz="0" w:space="0" w:color="auto"/>
            <w:right w:val="none" w:sz="0" w:space="0" w:color="auto"/>
          </w:divBdr>
          <w:divsChild>
            <w:div w:id="136919174">
              <w:marLeft w:val="0"/>
              <w:marRight w:val="0"/>
              <w:marTop w:val="0"/>
              <w:marBottom w:val="0"/>
              <w:divBdr>
                <w:top w:val="none" w:sz="0" w:space="0" w:color="auto"/>
                <w:left w:val="none" w:sz="0" w:space="0" w:color="auto"/>
                <w:bottom w:val="none" w:sz="0" w:space="0" w:color="auto"/>
                <w:right w:val="none" w:sz="0" w:space="0" w:color="auto"/>
              </w:divBdr>
              <w:divsChild>
                <w:div w:id="1737631470">
                  <w:marLeft w:val="0"/>
                  <w:marRight w:val="0"/>
                  <w:marTop w:val="0"/>
                  <w:marBottom w:val="0"/>
                  <w:divBdr>
                    <w:top w:val="none" w:sz="0" w:space="0" w:color="auto"/>
                    <w:left w:val="none" w:sz="0" w:space="0" w:color="auto"/>
                    <w:bottom w:val="none" w:sz="0" w:space="0" w:color="auto"/>
                    <w:right w:val="none" w:sz="0" w:space="0" w:color="auto"/>
                  </w:divBdr>
                  <w:divsChild>
                    <w:div w:id="5719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003074">
          <w:marLeft w:val="0"/>
          <w:marRight w:val="0"/>
          <w:marTop w:val="0"/>
          <w:marBottom w:val="0"/>
          <w:divBdr>
            <w:top w:val="none" w:sz="0" w:space="0" w:color="auto"/>
            <w:left w:val="none" w:sz="0" w:space="0" w:color="auto"/>
            <w:bottom w:val="none" w:sz="0" w:space="0" w:color="auto"/>
            <w:right w:val="none" w:sz="0" w:space="0" w:color="auto"/>
          </w:divBdr>
          <w:divsChild>
            <w:div w:id="115803576">
              <w:marLeft w:val="0"/>
              <w:marRight w:val="0"/>
              <w:marTop w:val="0"/>
              <w:marBottom w:val="0"/>
              <w:divBdr>
                <w:top w:val="none" w:sz="0" w:space="0" w:color="auto"/>
                <w:left w:val="none" w:sz="0" w:space="0" w:color="auto"/>
                <w:bottom w:val="none" w:sz="0" w:space="0" w:color="auto"/>
                <w:right w:val="none" w:sz="0" w:space="0" w:color="auto"/>
              </w:divBdr>
              <w:divsChild>
                <w:div w:id="1027680009">
                  <w:marLeft w:val="0"/>
                  <w:marRight w:val="0"/>
                  <w:marTop w:val="0"/>
                  <w:marBottom w:val="0"/>
                  <w:divBdr>
                    <w:top w:val="none" w:sz="0" w:space="0" w:color="auto"/>
                    <w:left w:val="none" w:sz="0" w:space="0" w:color="auto"/>
                    <w:bottom w:val="none" w:sz="0" w:space="0" w:color="auto"/>
                    <w:right w:val="none" w:sz="0" w:space="0" w:color="auto"/>
                  </w:divBdr>
                  <w:divsChild>
                    <w:div w:id="45521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449738">
      <w:bodyDiv w:val="1"/>
      <w:marLeft w:val="0"/>
      <w:marRight w:val="0"/>
      <w:marTop w:val="0"/>
      <w:marBottom w:val="0"/>
      <w:divBdr>
        <w:top w:val="none" w:sz="0" w:space="0" w:color="auto"/>
        <w:left w:val="none" w:sz="0" w:space="0" w:color="auto"/>
        <w:bottom w:val="none" w:sz="0" w:space="0" w:color="auto"/>
        <w:right w:val="none" w:sz="0" w:space="0" w:color="auto"/>
      </w:divBdr>
      <w:divsChild>
        <w:div w:id="931625606">
          <w:marLeft w:val="0"/>
          <w:marRight w:val="0"/>
          <w:marTop w:val="0"/>
          <w:marBottom w:val="0"/>
          <w:divBdr>
            <w:top w:val="none" w:sz="0" w:space="0" w:color="auto"/>
            <w:left w:val="none" w:sz="0" w:space="0" w:color="auto"/>
            <w:bottom w:val="none" w:sz="0" w:space="0" w:color="auto"/>
            <w:right w:val="none" w:sz="0" w:space="0" w:color="auto"/>
          </w:divBdr>
          <w:divsChild>
            <w:div w:id="1459909498">
              <w:marLeft w:val="0"/>
              <w:marRight w:val="0"/>
              <w:marTop w:val="0"/>
              <w:marBottom w:val="0"/>
              <w:divBdr>
                <w:top w:val="none" w:sz="0" w:space="0" w:color="auto"/>
                <w:left w:val="none" w:sz="0" w:space="0" w:color="auto"/>
                <w:bottom w:val="none" w:sz="0" w:space="0" w:color="auto"/>
                <w:right w:val="none" w:sz="0" w:space="0" w:color="auto"/>
              </w:divBdr>
              <w:divsChild>
                <w:div w:id="114056568">
                  <w:marLeft w:val="0"/>
                  <w:marRight w:val="0"/>
                  <w:marTop w:val="0"/>
                  <w:marBottom w:val="0"/>
                  <w:divBdr>
                    <w:top w:val="none" w:sz="0" w:space="0" w:color="auto"/>
                    <w:left w:val="none" w:sz="0" w:space="0" w:color="auto"/>
                    <w:bottom w:val="none" w:sz="0" w:space="0" w:color="auto"/>
                    <w:right w:val="none" w:sz="0" w:space="0" w:color="auto"/>
                  </w:divBdr>
                  <w:divsChild>
                    <w:div w:id="10265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904009">
          <w:marLeft w:val="0"/>
          <w:marRight w:val="0"/>
          <w:marTop w:val="0"/>
          <w:marBottom w:val="0"/>
          <w:divBdr>
            <w:top w:val="none" w:sz="0" w:space="0" w:color="auto"/>
            <w:left w:val="none" w:sz="0" w:space="0" w:color="auto"/>
            <w:bottom w:val="none" w:sz="0" w:space="0" w:color="auto"/>
            <w:right w:val="none" w:sz="0" w:space="0" w:color="auto"/>
          </w:divBdr>
          <w:divsChild>
            <w:div w:id="2026248257">
              <w:marLeft w:val="0"/>
              <w:marRight w:val="0"/>
              <w:marTop w:val="0"/>
              <w:marBottom w:val="0"/>
              <w:divBdr>
                <w:top w:val="none" w:sz="0" w:space="0" w:color="auto"/>
                <w:left w:val="none" w:sz="0" w:space="0" w:color="auto"/>
                <w:bottom w:val="none" w:sz="0" w:space="0" w:color="auto"/>
                <w:right w:val="none" w:sz="0" w:space="0" w:color="auto"/>
              </w:divBdr>
              <w:divsChild>
                <w:div w:id="187989000">
                  <w:marLeft w:val="0"/>
                  <w:marRight w:val="0"/>
                  <w:marTop w:val="0"/>
                  <w:marBottom w:val="0"/>
                  <w:divBdr>
                    <w:top w:val="none" w:sz="0" w:space="0" w:color="auto"/>
                    <w:left w:val="none" w:sz="0" w:space="0" w:color="auto"/>
                    <w:bottom w:val="none" w:sz="0" w:space="0" w:color="auto"/>
                    <w:right w:val="none" w:sz="0" w:space="0" w:color="auto"/>
                  </w:divBdr>
                  <w:divsChild>
                    <w:div w:id="108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567488">
      <w:bodyDiv w:val="1"/>
      <w:marLeft w:val="0"/>
      <w:marRight w:val="0"/>
      <w:marTop w:val="0"/>
      <w:marBottom w:val="0"/>
      <w:divBdr>
        <w:top w:val="none" w:sz="0" w:space="0" w:color="auto"/>
        <w:left w:val="none" w:sz="0" w:space="0" w:color="auto"/>
        <w:bottom w:val="none" w:sz="0" w:space="0" w:color="auto"/>
        <w:right w:val="none" w:sz="0" w:space="0" w:color="auto"/>
      </w:divBdr>
      <w:divsChild>
        <w:div w:id="1865366564">
          <w:marLeft w:val="0"/>
          <w:marRight w:val="0"/>
          <w:marTop w:val="0"/>
          <w:marBottom w:val="0"/>
          <w:divBdr>
            <w:top w:val="none" w:sz="0" w:space="0" w:color="auto"/>
            <w:left w:val="none" w:sz="0" w:space="0" w:color="auto"/>
            <w:bottom w:val="none" w:sz="0" w:space="0" w:color="auto"/>
            <w:right w:val="none" w:sz="0" w:space="0" w:color="auto"/>
          </w:divBdr>
          <w:divsChild>
            <w:div w:id="2033916846">
              <w:marLeft w:val="0"/>
              <w:marRight w:val="0"/>
              <w:marTop w:val="0"/>
              <w:marBottom w:val="0"/>
              <w:divBdr>
                <w:top w:val="none" w:sz="0" w:space="0" w:color="auto"/>
                <w:left w:val="none" w:sz="0" w:space="0" w:color="auto"/>
                <w:bottom w:val="none" w:sz="0" w:space="0" w:color="auto"/>
                <w:right w:val="none" w:sz="0" w:space="0" w:color="auto"/>
              </w:divBdr>
              <w:divsChild>
                <w:div w:id="1651130809">
                  <w:marLeft w:val="0"/>
                  <w:marRight w:val="0"/>
                  <w:marTop w:val="0"/>
                  <w:marBottom w:val="0"/>
                  <w:divBdr>
                    <w:top w:val="none" w:sz="0" w:space="0" w:color="auto"/>
                    <w:left w:val="none" w:sz="0" w:space="0" w:color="auto"/>
                    <w:bottom w:val="none" w:sz="0" w:space="0" w:color="auto"/>
                    <w:right w:val="none" w:sz="0" w:space="0" w:color="auto"/>
                  </w:divBdr>
                  <w:divsChild>
                    <w:div w:id="163416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420658">
          <w:marLeft w:val="0"/>
          <w:marRight w:val="0"/>
          <w:marTop w:val="0"/>
          <w:marBottom w:val="0"/>
          <w:divBdr>
            <w:top w:val="none" w:sz="0" w:space="0" w:color="auto"/>
            <w:left w:val="none" w:sz="0" w:space="0" w:color="auto"/>
            <w:bottom w:val="none" w:sz="0" w:space="0" w:color="auto"/>
            <w:right w:val="none" w:sz="0" w:space="0" w:color="auto"/>
          </w:divBdr>
          <w:divsChild>
            <w:div w:id="437070518">
              <w:marLeft w:val="0"/>
              <w:marRight w:val="0"/>
              <w:marTop w:val="0"/>
              <w:marBottom w:val="0"/>
              <w:divBdr>
                <w:top w:val="none" w:sz="0" w:space="0" w:color="auto"/>
                <w:left w:val="none" w:sz="0" w:space="0" w:color="auto"/>
                <w:bottom w:val="none" w:sz="0" w:space="0" w:color="auto"/>
                <w:right w:val="none" w:sz="0" w:space="0" w:color="auto"/>
              </w:divBdr>
              <w:divsChild>
                <w:div w:id="876040362">
                  <w:marLeft w:val="0"/>
                  <w:marRight w:val="0"/>
                  <w:marTop w:val="0"/>
                  <w:marBottom w:val="0"/>
                  <w:divBdr>
                    <w:top w:val="none" w:sz="0" w:space="0" w:color="auto"/>
                    <w:left w:val="none" w:sz="0" w:space="0" w:color="auto"/>
                    <w:bottom w:val="none" w:sz="0" w:space="0" w:color="auto"/>
                    <w:right w:val="none" w:sz="0" w:space="0" w:color="auto"/>
                  </w:divBdr>
                  <w:divsChild>
                    <w:div w:id="117094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09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5281/zenodo.1395126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A67F4-7136-47D7-B26D-B2E59F17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1101</Words>
  <Characters>6278</Characters>
  <Application>Microsoft Office Word</Application>
  <DocSecurity>0</DocSecurity>
  <Lines>52</Lines>
  <Paragraphs>14</Paragraphs>
  <ScaleCrop>false</ScaleCrop>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GARDIN</dc:creator>
  <cp:keywords/>
  <dc:description/>
  <cp:lastModifiedBy>LORENZO GARDIN</cp:lastModifiedBy>
  <cp:revision>162</cp:revision>
  <dcterms:created xsi:type="dcterms:W3CDTF">2024-09-20T12:58:00Z</dcterms:created>
  <dcterms:modified xsi:type="dcterms:W3CDTF">2024-11-27T15:57:00Z</dcterms:modified>
</cp:coreProperties>
</file>